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8E" w:rsidRDefault="0037188E" w:rsidP="0037188E">
      <w:pPr>
        <w:pStyle w:val="Default"/>
        <w:jc w:val="center"/>
        <w:rPr>
          <w:bCs/>
          <w:iCs/>
          <w:u w:val="single"/>
        </w:rPr>
      </w:pPr>
      <w:r w:rsidRPr="00E723F5">
        <w:rPr>
          <w:bCs/>
          <w:iCs/>
          <w:u w:val="single"/>
        </w:rPr>
        <w:t>ТРЕБОВАНИЯ К ОФОРМЛЕНИЮ МАТЕРИАЛОВ ДОКЛАДА</w:t>
      </w:r>
    </w:p>
    <w:p w:rsidR="0037188E" w:rsidRPr="00E723F5" w:rsidRDefault="0037188E" w:rsidP="0037188E">
      <w:pPr>
        <w:pStyle w:val="Default"/>
        <w:jc w:val="center"/>
        <w:rPr>
          <w:u w:val="single"/>
        </w:rPr>
      </w:pPr>
    </w:p>
    <w:p w:rsidR="0037188E" w:rsidRDefault="0037188E" w:rsidP="0037188E">
      <w:pPr>
        <w:pStyle w:val="Default"/>
        <w:ind w:firstLine="709"/>
      </w:pPr>
      <w:r w:rsidRPr="001954BA">
        <w:rPr>
          <w:b/>
        </w:rPr>
        <w:t>1. Тезисы должны быть написаны в сжатой и ясной форме на русском или</w:t>
      </w:r>
      <w:r w:rsidRPr="00EC4F3C">
        <w:rPr>
          <w:b/>
        </w:rPr>
        <w:t xml:space="preserve"> английском языке.</w:t>
      </w:r>
      <w:r>
        <w:t xml:space="preserve"> </w:t>
      </w:r>
    </w:p>
    <w:p w:rsidR="0037188E" w:rsidRPr="001954BA" w:rsidRDefault="0037188E" w:rsidP="0037188E">
      <w:pPr>
        <w:pStyle w:val="Default"/>
        <w:ind w:firstLine="709"/>
        <w:rPr>
          <w:b/>
        </w:rPr>
      </w:pPr>
      <w:r w:rsidRPr="001954BA">
        <w:rPr>
          <w:b/>
        </w:rPr>
        <w:t>2.  Тезисы должны содержать: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соответствующий индекс УДК;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название на русском и английском языках;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инициалы и фамилии авторов на русском и английском языках;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полное название учреждений, в которых выполнялось исследование (с указанием адреса) на русском и английском языках;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ключевые слова (до 10 слов) на русском и английском языках;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аннотацию на русском и английском языках (3-5 предложений).</w:t>
      </w:r>
    </w:p>
    <w:p w:rsidR="0037188E" w:rsidRPr="001954BA" w:rsidRDefault="0037188E" w:rsidP="0037188E">
      <w:pPr>
        <w:pStyle w:val="Default"/>
        <w:ind w:firstLine="709"/>
        <w:rPr>
          <w:b/>
        </w:rPr>
      </w:pPr>
      <w:r w:rsidRPr="001954BA">
        <w:rPr>
          <w:b/>
        </w:rPr>
        <w:t xml:space="preserve">3. Количество полных страниц текста от 2 до 6 формата А4, включая список литературы. </w:t>
      </w:r>
    </w:p>
    <w:p w:rsidR="0037188E" w:rsidRDefault="0037188E" w:rsidP="0037188E">
      <w:pPr>
        <w:pStyle w:val="Default"/>
        <w:ind w:firstLine="709"/>
      </w:pPr>
      <w:r>
        <w:t xml:space="preserve">4. </w:t>
      </w:r>
      <w:r w:rsidRPr="00EC4F3C">
        <w:rPr>
          <w:b/>
        </w:rPr>
        <w:t>При наборе текста используется</w:t>
      </w:r>
      <w:r>
        <w:t>:</w:t>
      </w:r>
    </w:p>
    <w:p w:rsidR="0037188E" w:rsidRPr="00BC493A" w:rsidRDefault="0037188E" w:rsidP="0037188E">
      <w:pPr>
        <w:pStyle w:val="Default"/>
        <w:numPr>
          <w:ilvl w:val="0"/>
          <w:numId w:val="1"/>
        </w:numPr>
        <w:ind w:left="1134" w:hanging="425"/>
        <w:rPr>
          <w:lang w:val="en-US"/>
        </w:rPr>
      </w:pPr>
      <w:r>
        <w:t>размер бумаги – А4 (210х297);</w:t>
      </w:r>
    </w:p>
    <w:p w:rsidR="0037188E" w:rsidRPr="00BC493A" w:rsidRDefault="0037188E" w:rsidP="0037188E">
      <w:pPr>
        <w:pStyle w:val="Default"/>
        <w:numPr>
          <w:ilvl w:val="0"/>
          <w:numId w:val="1"/>
        </w:numPr>
        <w:ind w:left="1134" w:hanging="425"/>
        <w:rPr>
          <w:lang w:val="en-US"/>
        </w:rPr>
      </w:pPr>
      <w:r>
        <w:t>гарнитура</w:t>
      </w:r>
      <w:r w:rsidRPr="00BC493A">
        <w:rPr>
          <w:lang w:val="en-US"/>
        </w:rPr>
        <w:t xml:space="preserve"> </w:t>
      </w:r>
      <w:r>
        <w:rPr>
          <w:lang w:val="en-US"/>
        </w:rPr>
        <w:t>Times</w:t>
      </w:r>
      <w:r w:rsidRPr="00BC493A">
        <w:rPr>
          <w:lang w:val="en-US"/>
        </w:rPr>
        <w:t xml:space="preserve"> </w:t>
      </w:r>
      <w:r>
        <w:rPr>
          <w:lang w:val="en-US"/>
        </w:rPr>
        <w:t>New</w:t>
      </w:r>
      <w:r w:rsidRPr="00BC493A">
        <w:rPr>
          <w:lang w:val="en-US"/>
        </w:rPr>
        <w:t xml:space="preserve"> </w:t>
      </w:r>
      <w:r>
        <w:rPr>
          <w:lang w:val="en-US"/>
        </w:rPr>
        <w:t>Roman</w:t>
      </w:r>
      <w:r w:rsidRPr="00BC493A">
        <w:rPr>
          <w:lang w:val="en-US"/>
        </w:rPr>
        <w:t xml:space="preserve">, </w:t>
      </w:r>
      <w:r>
        <w:t>кегль</w:t>
      </w:r>
      <w:r w:rsidRPr="00BC493A">
        <w:rPr>
          <w:lang w:val="en-US"/>
        </w:rPr>
        <w:t xml:space="preserve"> </w:t>
      </w:r>
      <w:proofErr w:type="gramStart"/>
      <w:r w:rsidRPr="00BC493A">
        <w:rPr>
          <w:lang w:val="en-US"/>
        </w:rPr>
        <w:t>–  11</w:t>
      </w:r>
      <w:proofErr w:type="gramEnd"/>
      <w:r w:rsidRPr="00BC493A">
        <w:rPr>
          <w:lang w:val="en-US"/>
        </w:rPr>
        <w:t xml:space="preserve"> </w:t>
      </w:r>
      <w:proofErr w:type="spellStart"/>
      <w:r>
        <w:rPr>
          <w:lang w:val="en-US"/>
        </w:rPr>
        <w:t>pt</w:t>
      </w:r>
      <w:proofErr w:type="spellEnd"/>
      <w:r w:rsidRPr="00BC493A">
        <w:rPr>
          <w:lang w:val="en-US"/>
        </w:rPr>
        <w:t>;</w:t>
      </w:r>
    </w:p>
    <w:p w:rsidR="0037188E" w:rsidRPr="003678C9" w:rsidRDefault="0037188E" w:rsidP="0037188E">
      <w:pPr>
        <w:pStyle w:val="Default"/>
        <w:numPr>
          <w:ilvl w:val="0"/>
          <w:numId w:val="1"/>
        </w:numPr>
        <w:ind w:left="1134" w:hanging="425"/>
        <w:rPr>
          <w:lang w:val="en-US"/>
        </w:rPr>
      </w:pPr>
      <w:r>
        <w:t>межстрочный интервал – 1,0;</w:t>
      </w:r>
    </w:p>
    <w:p w:rsidR="0037188E" w:rsidRPr="003678C9" w:rsidRDefault="0037188E" w:rsidP="0037188E">
      <w:pPr>
        <w:pStyle w:val="Default"/>
        <w:numPr>
          <w:ilvl w:val="0"/>
          <w:numId w:val="1"/>
        </w:numPr>
        <w:ind w:left="1134" w:hanging="425"/>
        <w:rPr>
          <w:lang w:val="en-US"/>
        </w:rPr>
      </w:pPr>
      <w:r>
        <w:t>абзацный отступ – 1,25 см;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поля слева, справа, сверху и снизу – по 25 мм;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латинские символы представлять курсивным начертанием;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кириллические и греческие символы представлять прямым начертанием.</w:t>
      </w:r>
    </w:p>
    <w:p w:rsidR="0037188E" w:rsidRPr="00516BD1" w:rsidRDefault="0037188E" w:rsidP="0037188E">
      <w:pPr>
        <w:pStyle w:val="Default"/>
        <w:ind w:firstLine="709"/>
      </w:pPr>
      <w:r>
        <w:t>Запрещается при наборе текста использовать гиперссылки, маркированные списки и ручные переносы слов.</w:t>
      </w:r>
    </w:p>
    <w:p w:rsidR="0037188E" w:rsidRPr="001954BA" w:rsidRDefault="0037188E" w:rsidP="0037188E">
      <w:pPr>
        <w:pStyle w:val="Default"/>
        <w:ind w:firstLine="709"/>
        <w:rPr>
          <w:b/>
        </w:rPr>
      </w:pPr>
      <w:r w:rsidRPr="001954BA">
        <w:rPr>
          <w:b/>
        </w:rPr>
        <w:t>5. При наборе формул используется:</w:t>
      </w:r>
    </w:p>
    <w:p w:rsidR="0037188E" w:rsidRPr="00F32C68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 xml:space="preserve">редактор формул </w:t>
      </w:r>
      <w:proofErr w:type="spellStart"/>
      <w:r>
        <w:rPr>
          <w:lang w:val="en-US"/>
        </w:rPr>
        <w:t>MathType</w:t>
      </w:r>
      <w:proofErr w:type="spellEnd"/>
      <w:r>
        <w:t>, стиль «Математика» («</w:t>
      </w:r>
      <w:r>
        <w:rPr>
          <w:lang w:val="en-US"/>
        </w:rPr>
        <w:t>Math</w:t>
      </w:r>
      <w:r>
        <w:t>»);</w:t>
      </w:r>
    </w:p>
    <w:p w:rsidR="0037188E" w:rsidRPr="0037188E" w:rsidRDefault="0037188E" w:rsidP="0037188E">
      <w:pPr>
        <w:pStyle w:val="Default"/>
        <w:numPr>
          <w:ilvl w:val="0"/>
          <w:numId w:val="1"/>
        </w:numPr>
        <w:ind w:left="1134" w:hanging="425"/>
        <w:rPr>
          <w:lang w:val="en-US"/>
        </w:rPr>
      </w:pPr>
      <w:r>
        <w:t>гарнитура</w:t>
      </w:r>
      <w:r w:rsidRPr="0037188E">
        <w:rPr>
          <w:lang w:val="en-US"/>
        </w:rPr>
        <w:t xml:space="preserve"> </w:t>
      </w:r>
      <w:r>
        <w:rPr>
          <w:lang w:val="en-US"/>
        </w:rPr>
        <w:t>Times</w:t>
      </w:r>
      <w:r w:rsidRPr="0037188E">
        <w:rPr>
          <w:lang w:val="en-US"/>
        </w:rPr>
        <w:t xml:space="preserve"> </w:t>
      </w:r>
      <w:r>
        <w:rPr>
          <w:lang w:val="en-US"/>
        </w:rPr>
        <w:t>New</w:t>
      </w:r>
      <w:r w:rsidRPr="0037188E">
        <w:rPr>
          <w:lang w:val="en-US"/>
        </w:rPr>
        <w:t xml:space="preserve"> </w:t>
      </w:r>
      <w:r>
        <w:rPr>
          <w:lang w:val="en-US"/>
        </w:rPr>
        <w:t>Roman</w:t>
      </w:r>
      <w:r w:rsidRPr="0037188E">
        <w:rPr>
          <w:lang w:val="en-US"/>
        </w:rPr>
        <w:t xml:space="preserve">, </w:t>
      </w:r>
      <w:r>
        <w:t>кегль</w:t>
      </w:r>
      <w:r w:rsidRPr="0037188E">
        <w:rPr>
          <w:lang w:val="en-US"/>
        </w:rPr>
        <w:t xml:space="preserve"> </w:t>
      </w:r>
      <w:proofErr w:type="gramStart"/>
      <w:r w:rsidRPr="0037188E">
        <w:rPr>
          <w:lang w:val="en-US"/>
        </w:rPr>
        <w:t>–  11</w:t>
      </w:r>
      <w:proofErr w:type="gramEnd"/>
      <w:r w:rsidRPr="0037188E">
        <w:rPr>
          <w:lang w:val="en-US"/>
        </w:rPr>
        <w:t xml:space="preserve"> </w:t>
      </w:r>
      <w:proofErr w:type="spellStart"/>
      <w:r>
        <w:rPr>
          <w:lang w:val="en-US"/>
        </w:rPr>
        <w:t>pt</w:t>
      </w:r>
      <w:proofErr w:type="spellEnd"/>
      <w:r w:rsidRPr="0037188E">
        <w:rPr>
          <w:lang w:val="en-US"/>
        </w:rPr>
        <w:t>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латинские символы представлять курсивным начертанием;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кириллические и греческие символы представлять прямым начертанием.</w:t>
      </w:r>
    </w:p>
    <w:p w:rsidR="0037188E" w:rsidRPr="001954BA" w:rsidRDefault="0037188E" w:rsidP="0037188E">
      <w:pPr>
        <w:pStyle w:val="Default"/>
        <w:ind w:firstLine="709"/>
        <w:rPr>
          <w:b/>
        </w:rPr>
      </w:pPr>
      <w:r w:rsidRPr="001954BA">
        <w:rPr>
          <w:b/>
        </w:rPr>
        <w:t>6. Рисунки выполняются в соответствии со следующими требованиями:</w:t>
      </w:r>
    </w:p>
    <w:p w:rsidR="0037188E" w:rsidRPr="00F32C68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 xml:space="preserve">формат рисунка </w:t>
      </w:r>
      <w:r>
        <w:rPr>
          <w:lang w:val="en-US"/>
        </w:rPr>
        <w:t>JPEG</w:t>
      </w:r>
      <w:r>
        <w:t>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размер рисунка – не более 15х20 см, разрешение – не менее 300</w:t>
      </w:r>
      <w:r w:rsidRPr="003714F5">
        <w:t xml:space="preserve"> </w:t>
      </w:r>
      <w:r>
        <w:rPr>
          <w:lang w:val="en-US"/>
        </w:rPr>
        <w:t>dpi</w:t>
      </w:r>
      <w:r>
        <w:t>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рисунок должен быть оформлен как графический объект;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 xml:space="preserve">текстовая информация и условные обозначения выносятся из рисунка в подрисуночные подписи, которые должны включать в себя номер и название рисунка. </w:t>
      </w:r>
    </w:p>
    <w:p w:rsidR="0037188E" w:rsidRPr="001954BA" w:rsidRDefault="0037188E" w:rsidP="0037188E">
      <w:pPr>
        <w:pStyle w:val="Default"/>
        <w:ind w:firstLine="709"/>
        <w:rPr>
          <w:b/>
        </w:rPr>
      </w:pPr>
      <w:r w:rsidRPr="001954BA">
        <w:rPr>
          <w:b/>
        </w:rPr>
        <w:t>7. При оформлении таблиц необходимо придерживаться следующих правил: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>все таблицы должны иметь заголовки, расположенные над ними и пронумерованные арабскими цифрами (если таблица одна, то она не нумеруется);</w:t>
      </w:r>
    </w:p>
    <w:p w:rsidR="0037188E" w:rsidRDefault="0037188E" w:rsidP="0037188E">
      <w:pPr>
        <w:pStyle w:val="Default"/>
        <w:numPr>
          <w:ilvl w:val="0"/>
          <w:numId w:val="1"/>
        </w:numPr>
        <w:ind w:left="1134" w:hanging="425"/>
      </w:pPr>
      <w:r>
        <w:t xml:space="preserve">заголовок таблицы выравнивается по центру. </w:t>
      </w:r>
    </w:p>
    <w:p w:rsidR="0037188E" w:rsidRPr="00EC4F3C" w:rsidRDefault="0037188E" w:rsidP="0037188E">
      <w:pPr>
        <w:pStyle w:val="Default"/>
        <w:ind w:firstLine="709"/>
        <w:rPr>
          <w:b/>
        </w:rPr>
      </w:pPr>
      <w:r w:rsidRPr="001954BA">
        <w:rPr>
          <w:b/>
        </w:rPr>
        <w:t>8. Наименование, обозначение, определения и правила применения единиц</w:t>
      </w:r>
      <w:r w:rsidRPr="00EC4F3C">
        <w:rPr>
          <w:b/>
        </w:rPr>
        <w:t xml:space="preserve"> физических величин, употребляемых в статье, должны соответствовать ГОСТ 8.417-2002.</w:t>
      </w:r>
    </w:p>
    <w:p w:rsidR="0037188E" w:rsidRPr="001954BA" w:rsidRDefault="0037188E" w:rsidP="0037188E">
      <w:pPr>
        <w:pStyle w:val="Default"/>
        <w:ind w:firstLine="709"/>
        <w:rPr>
          <w:b/>
        </w:rPr>
      </w:pPr>
      <w:r w:rsidRPr="001954BA">
        <w:rPr>
          <w:b/>
        </w:rPr>
        <w:t>9. Ссылки на литературные источники нумеруются в порядке их цитирования в тексте. Номера ссылок заключаются в квадратные скобки.</w:t>
      </w:r>
    </w:p>
    <w:p w:rsidR="0037188E" w:rsidRDefault="0037188E" w:rsidP="0037188E">
      <w:pPr>
        <w:pStyle w:val="Default"/>
        <w:ind w:left="1134"/>
      </w:pPr>
      <w:bookmarkStart w:id="0" w:name="_GoBack"/>
      <w:bookmarkEnd w:id="0"/>
    </w:p>
    <w:sectPr w:rsidR="0037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4DE"/>
    <w:multiLevelType w:val="hybridMultilevel"/>
    <w:tmpl w:val="A4BAD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8E"/>
    <w:rsid w:val="0037188E"/>
    <w:rsid w:val="00B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7B7E0-076C-4247-9AD5-2D65E05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8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 Сергей Викторович</dc:creator>
  <cp:keywords/>
  <dc:description/>
  <cp:lastModifiedBy>Дробот Сергей Викторович</cp:lastModifiedBy>
  <cp:revision>1</cp:revision>
  <dcterms:created xsi:type="dcterms:W3CDTF">2021-02-25T06:52:00Z</dcterms:created>
  <dcterms:modified xsi:type="dcterms:W3CDTF">2021-02-25T06:53:00Z</dcterms:modified>
</cp:coreProperties>
</file>