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07" w:rsidRPr="00EE4128" w:rsidRDefault="0021032F" w:rsidP="00641598">
      <w:pPr>
        <w:pStyle w:val="1"/>
        <w:spacing w:line="240" w:lineRule="auto"/>
        <w:ind w:firstLine="0"/>
        <w:jc w:val="center"/>
        <w:rPr>
          <w:rStyle w:val="a5"/>
          <w:b/>
          <w:color w:val="1F3864" w:themeColor="accent5" w:themeShade="80"/>
          <w:sz w:val="36"/>
          <w:szCs w:val="36"/>
        </w:rPr>
      </w:pPr>
      <w:r w:rsidRPr="00EE4128">
        <w:rPr>
          <w:rStyle w:val="a5"/>
          <w:b/>
          <w:color w:val="1F3864" w:themeColor="accent5" w:themeShade="80"/>
          <w:sz w:val="36"/>
          <w:szCs w:val="36"/>
        </w:rPr>
        <w:t>О принятии мер, направленных</w:t>
      </w:r>
      <w:r w:rsidR="00641598" w:rsidRPr="00EE4128">
        <w:rPr>
          <w:rStyle w:val="a5"/>
          <w:b/>
          <w:color w:val="1F3864" w:themeColor="accent5" w:themeShade="80"/>
          <w:sz w:val="36"/>
          <w:szCs w:val="36"/>
        </w:rPr>
        <w:t xml:space="preserve"> </w:t>
      </w:r>
      <w:r w:rsidRPr="00EE4128">
        <w:rPr>
          <w:rStyle w:val="a5"/>
          <w:b/>
          <w:color w:val="1F3864" w:themeColor="accent5" w:themeShade="80"/>
          <w:sz w:val="36"/>
          <w:szCs w:val="36"/>
        </w:rPr>
        <w:t xml:space="preserve">на противодействие </w:t>
      </w:r>
      <w:proofErr w:type="spellStart"/>
      <w:r w:rsidRPr="00EE4128">
        <w:rPr>
          <w:rStyle w:val="a5"/>
          <w:b/>
          <w:color w:val="1F3864" w:themeColor="accent5" w:themeShade="80"/>
          <w:sz w:val="36"/>
          <w:szCs w:val="36"/>
        </w:rPr>
        <w:t>киберпреступности</w:t>
      </w:r>
      <w:proofErr w:type="spellEnd"/>
    </w:p>
    <w:p w:rsidR="00641598" w:rsidRDefault="00641598" w:rsidP="00641598">
      <w:pPr>
        <w:pStyle w:val="1"/>
        <w:spacing w:line="240" w:lineRule="auto"/>
        <w:ind w:firstLine="0"/>
      </w:pP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Стремительным развитием компьютерных и информационных технологий, внедрением технических и программных средств в различные сферы жизнедеятельности гражданского общества, глобализацией обусловлена необходимость принятия действенных мер, направленных на противодействие преступлениям, совершаемым в цифровом пространстве.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 xml:space="preserve">Уязвимость Интернет-технологий, недостаточная осведомленность о способах совершениях преступлений в сфере </w:t>
      </w:r>
      <w:proofErr w:type="spellStart"/>
      <w:r>
        <w:rPr>
          <w:rStyle w:val="a5"/>
        </w:rPr>
        <w:t>информационно</w:t>
      </w:r>
      <w:r>
        <w:rPr>
          <w:rStyle w:val="a5"/>
        </w:rPr>
        <w:softHyphen/>
        <w:t>коммуникационных</w:t>
      </w:r>
      <w:proofErr w:type="spellEnd"/>
      <w:r>
        <w:rPr>
          <w:rStyle w:val="a5"/>
        </w:rPr>
        <w:t xml:space="preserve"> технологий и компьютерной безопасности, посредственный уровень цифровой грамотности населения позволяют злоумышленникам осуществлять преступную деятельность, направленную на неправомерное завладение конфиденциальной информацией, извлечение финансовой выгоды, использование и распространение вредоносного программного обеспечения.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proofErr w:type="spellStart"/>
      <w:r>
        <w:rPr>
          <w:rStyle w:val="a5"/>
          <w:i/>
          <w:iCs/>
        </w:rPr>
        <w:t>Справочно</w:t>
      </w:r>
      <w:proofErr w:type="spellEnd"/>
      <w:r>
        <w:rPr>
          <w:rStyle w:val="a5"/>
          <w:i/>
          <w:iCs/>
        </w:rPr>
        <w:t xml:space="preserve">: количество зарегистрированных на территории Минской области </w:t>
      </w:r>
      <w:proofErr w:type="spellStart"/>
      <w:r>
        <w:rPr>
          <w:rStyle w:val="a5"/>
          <w:i/>
          <w:iCs/>
        </w:rPr>
        <w:t>киберпреступлений</w:t>
      </w:r>
      <w:proofErr w:type="spellEnd"/>
      <w:r>
        <w:rPr>
          <w:rStyle w:val="a5"/>
          <w:i/>
          <w:iCs/>
        </w:rPr>
        <w:t xml:space="preserve"> за 12 месяцев 2025 года в процентном соотношении возросло на 6,5% в сравнении с аналогичным периодом 2024 года.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 xml:space="preserve">В целях упреждения преступных посягательств, связанных с использованием информационно-коммуникационных технологий, необходимо довести до сведения многочисленной аудитории наиболее распространенные виды </w:t>
      </w:r>
      <w:proofErr w:type="spellStart"/>
      <w:r>
        <w:rPr>
          <w:rStyle w:val="a5"/>
        </w:rPr>
        <w:t>киберпреступлений</w:t>
      </w:r>
      <w:proofErr w:type="spellEnd"/>
      <w:r>
        <w:rPr>
          <w:rStyle w:val="a5"/>
        </w:rPr>
        <w:t>, способы их совершения и эффективные меры безопасности.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Так, наиболее распространенные преступления указанной категории предусмотрены статьями 209 (мошенничество) и 212 (хищение имущества путем модификации компьютерной информации) Уголовного кодекса Республики Беларусь.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proofErr w:type="spellStart"/>
      <w:r>
        <w:rPr>
          <w:rStyle w:val="a5"/>
          <w:i/>
          <w:iCs/>
        </w:rPr>
        <w:t>Справочно</w:t>
      </w:r>
      <w:proofErr w:type="spellEnd"/>
      <w:r>
        <w:rPr>
          <w:rStyle w:val="a5"/>
          <w:i/>
          <w:iCs/>
        </w:rPr>
        <w:t>: удельный вес уголовных дел, возбужденных Минским районным отделом Следственного комитета Республики Беларусь по фактам мошенничеств в третьем квартале 2025 года, составил 50,4% (в том числе о тяжких и особо тяжких преступлениях — 5,3%)</w:t>
      </w:r>
      <w:r w:rsidR="00641598">
        <w:rPr>
          <w:rStyle w:val="a5"/>
          <w:i/>
          <w:iCs/>
        </w:rPr>
        <w:t xml:space="preserve"> </w:t>
      </w:r>
      <w:r>
        <w:rPr>
          <w:rStyle w:val="a5"/>
          <w:i/>
          <w:iCs/>
        </w:rPr>
        <w:t>от общего количества дел данной категории, при этом по фактам хищений денежных средств граждан путем модификации компьютерной информации - 37,4% (в том числе о тяжких и особо тяжких преступлениях - 3,8%).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Мошеннические действия совершаются путем обмана потенциальных потерпевших под наиболее распространенными предлогами - продажи и доставки товаров, оказания услуг, предоставления в аренду жилых помещений, содействия в трудоустройстве, получения дохода путем осуществления инвестиционной деятельности, приобретения цифровой валюты и т.п.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Злоумышленниками создаются либо приобретаются учетные записи в мессенджерах («</w:t>
      </w:r>
      <w:proofErr w:type="spellStart"/>
      <w:r>
        <w:rPr>
          <w:rStyle w:val="a5"/>
        </w:rPr>
        <w:t>Telegram</w:t>
      </w:r>
      <w:proofErr w:type="spellEnd"/>
      <w:r>
        <w:rPr>
          <w:rStyle w:val="a5"/>
        </w:rPr>
        <w:t>», «</w:t>
      </w:r>
      <w:proofErr w:type="spellStart"/>
      <w:r>
        <w:rPr>
          <w:rStyle w:val="a5"/>
        </w:rPr>
        <w:t>Viber</w:t>
      </w:r>
      <w:proofErr w:type="spellEnd"/>
      <w:r>
        <w:rPr>
          <w:rStyle w:val="a5"/>
        </w:rPr>
        <w:t xml:space="preserve">», </w:t>
      </w:r>
      <w:r w:rsidRPr="00641598">
        <w:rPr>
          <w:rStyle w:val="a5"/>
          <w:lang w:eastAsia="en-US"/>
        </w:rPr>
        <w:t>«</w:t>
      </w:r>
      <w:r>
        <w:rPr>
          <w:rStyle w:val="a5"/>
          <w:lang w:val="en-US" w:eastAsia="en-US"/>
        </w:rPr>
        <w:t>WhatsApp</w:t>
      </w:r>
      <w:r w:rsidRPr="00641598">
        <w:rPr>
          <w:rStyle w:val="a5"/>
          <w:lang w:eastAsia="en-US"/>
        </w:rPr>
        <w:t xml:space="preserve">» </w:t>
      </w:r>
      <w:r>
        <w:rPr>
          <w:rStyle w:val="a5"/>
        </w:rPr>
        <w:t xml:space="preserve">и т.п.), социальных сетях </w:t>
      </w:r>
      <w:r w:rsidRPr="00641598">
        <w:rPr>
          <w:rStyle w:val="a5"/>
          <w:lang w:eastAsia="en-US"/>
        </w:rPr>
        <w:t>(«</w:t>
      </w:r>
      <w:r>
        <w:rPr>
          <w:rStyle w:val="a5"/>
          <w:lang w:val="en-US" w:eastAsia="en-US"/>
        </w:rPr>
        <w:t>Instagram</w:t>
      </w:r>
      <w:r w:rsidRPr="00641598">
        <w:rPr>
          <w:rStyle w:val="a5"/>
          <w:lang w:eastAsia="en-US"/>
        </w:rPr>
        <w:t xml:space="preserve">», </w:t>
      </w:r>
      <w:r>
        <w:rPr>
          <w:rStyle w:val="a5"/>
        </w:rPr>
        <w:t>«</w:t>
      </w:r>
      <w:proofErr w:type="spellStart"/>
      <w:r>
        <w:rPr>
          <w:rStyle w:val="a5"/>
        </w:rPr>
        <w:t>ВКонтакте</w:t>
      </w:r>
      <w:proofErr w:type="spellEnd"/>
      <w:r>
        <w:rPr>
          <w:rStyle w:val="a5"/>
        </w:rPr>
        <w:t xml:space="preserve">», </w:t>
      </w:r>
      <w:r w:rsidRPr="00641598">
        <w:rPr>
          <w:rStyle w:val="a5"/>
          <w:lang w:eastAsia="en-US"/>
        </w:rPr>
        <w:t>«</w:t>
      </w:r>
      <w:proofErr w:type="spellStart"/>
      <w:r>
        <w:rPr>
          <w:rStyle w:val="a5"/>
          <w:lang w:val="en-US" w:eastAsia="en-US"/>
        </w:rPr>
        <w:t>TikTok</w:t>
      </w:r>
      <w:proofErr w:type="spellEnd"/>
      <w:r w:rsidRPr="00641598">
        <w:rPr>
          <w:rStyle w:val="a5"/>
          <w:lang w:eastAsia="en-US"/>
        </w:rPr>
        <w:t xml:space="preserve">» </w:t>
      </w:r>
      <w:r>
        <w:rPr>
          <w:rStyle w:val="a5"/>
        </w:rPr>
        <w:t xml:space="preserve">и т.д.), на онлайн-площадках объявлений </w:t>
      </w:r>
      <w:r w:rsidRPr="00641598">
        <w:rPr>
          <w:rStyle w:val="a5"/>
          <w:lang w:eastAsia="en-US"/>
        </w:rPr>
        <w:lastRenderedPageBreak/>
        <w:t>(«</w:t>
      </w:r>
      <w:proofErr w:type="spellStart"/>
      <w:r>
        <w:rPr>
          <w:rStyle w:val="a5"/>
          <w:lang w:val="en-US" w:eastAsia="en-US"/>
        </w:rPr>
        <w:t>kufar</w:t>
      </w:r>
      <w:proofErr w:type="spellEnd"/>
      <w:r w:rsidRPr="00641598">
        <w:rPr>
          <w:rStyle w:val="a5"/>
          <w:lang w:eastAsia="en-US"/>
        </w:rPr>
        <w:t>.</w:t>
      </w:r>
      <w:r>
        <w:rPr>
          <w:rStyle w:val="a5"/>
          <w:lang w:val="en-US" w:eastAsia="en-US"/>
        </w:rPr>
        <w:t>by</w:t>
      </w:r>
      <w:r w:rsidRPr="00641598">
        <w:rPr>
          <w:rStyle w:val="a5"/>
          <w:lang w:eastAsia="en-US"/>
        </w:rPr>
        <w:t>», «</w:t>
      </w:r>
      <w:proofErr w:type="spellStart"/>
      <w:r>
        <w:rPr>
          <w:rStyle w:val="a5"/>
          <w:lang w:val="en-US" w:eastAsia="en-US"/>
        </w:rPr>
        <w:t>av</w:t>
      </w:r>
      <w:proofErr w:type="spellEnd"/>
      <w:r w:rsidRPr="00641598">
        <w:rPr>
          <w:rStyle w:val="a5"/>
          <w:lang w:eastAsia="en-US"/>
        </w:rPr>
        <w:t>.</w:t>
      </w:r>
      <w:r>
        <w:rPr>
          <w:rStyle w:val="a5"/>
          <w:lang w:val="en-US" w:eastAsia="en-US"/>
        </w:rPr>
        <w:t>by</w:t>
      </w:r>
      <w:r w:rsidRPr="00641598">
        <w:rPr>
          <w:rStyle w:val="a5"/>
          <w:lang w:eastAsia="en-US"/>
        </w:rPr>
        <w:t xml:space="preserve">» </w:t>
      </w:r>
      <w:r>
        <w:rPr>
          <w:rStyle w:val="a5"/>
        </w:rPr>
        <w:t>и т.п.), с использованием которых совершаются данные преступления.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Как правило, информация о продаже товара либо об оказании услуг привлекает внимание пользователей виртуального пространства выгодными условиями, ввиду чего желание минимизировать затраты усыпляет бдительность граждан и позволяет злоумышленнику вступить в переписку с потенциальным потерпевшим, при этом, используя психологические техники, повысить его вовлеченность в виртуальный диалог и убедить в безопасности дистанционной сделки.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Таким образом, под видом осуществления виртуальной торговли злоумышленник с использованием Интернет-пространства, путем визуализации различных форматов информации, размещения изображений товаров и услуг, рекламной цифровой продукции формирует интерес определенной целевой аудитории к предметам цифровой коммерции и убеждает осуществить оплату таковых.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  <w:i/>
          <w:iCs/>
        </w:rPr>
        <w:t>К примеру, следственная практика зафиксировала распространенные мошеннические схемы преступной деятельности с использованием учетных записей в социальных сетях. Злоумышленниками создаются аккаунты виртуальных магазинов, на электронных страницах которых размещаются изображения целевых товаров (предметов одежды и обуви, продуктов питания, товаров, предназначенных для туризма и отдыха, предметов бытового назначения, электроприборов, компьютерной техники и иных). В ходе переписки с потерпевшим преступник подробно описывает условия приобретения и доставки товара, направляет реквизиты для оплаты, определяет сроки и предоставляет гарантии (в некоторых случаях - путем заключения договоров, действуя от лица уполномоченных представителей организаций, таковыми не являясь, направляя покупателю электронные копии документов, созданных с использованием программного</w:t>
      </w:r>
      <w:r w:rsidR="00641598">
        <w:rPr>
          <w:rStyle w:val="a5"/>
          <w:i/>
          <w:iCs/>
        </w:rPr>
        <w:t xml:space="preserve"> </w:t>
      </w:r>
      <w:r>
        <w:rPr>
          <w:rStyle w:val="a5"/>
          <w:i/>
          <w:iCs/>
        </w:rPr>
        <w:t>обеспечения, позволяющего редактировать текст и создавать графический контент). После произведенной оплаты возможно несколько исходов событий: злоумышленник игнорирует сообщения и звонки, блокирует учетную запись либо ограничивает доступ, продолжает осуществлять переписку с целью получения дополнительной финансовой выгоды под вымышленными предлогами (изменения условий доставки, отсутствия интересующего товара на складе, необходимости осуществления дополнительной оплаты и т.п.).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Типичные способы совершения мошеннических действий свидетельствуют о соблюдении преступниками принципа сезонности спроса на товары.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  <w:i/>
          <w:iCs/>
        </w:rPr>
        <w:t xml:space="preserve">К примеру, в зимний период злоумышленники активизируются с предложениями о праздничных скидках на новогодние атрибуты (зачастую искусственные ели), продукты питания (рыбу, морепродукты, икру), в летний - выражают готовность предоставить туристические услуги, обеспечить первоочередность оформления и выдачи виз, осуществить бронирование жилья, </w:t>
      </w:r>
      <w:r>
        <w:rPr>
          <w:rStyle w:val="a5"/>
          <w:i/>
          <w:iCs/>
        </w:rPr>
        <w:lastRenderedPageBreak/>
        <w:t>доставить садовую мебель и т.п.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Жертвами обмана также становятся покупатели, желающие приобрести товар по демократичной цене. Зачастую низкая стоимостью таких товаров аргументируется ликвидацией юридических лиц либо схемами торговли, позволяющими доставлять</w:t>
      </w:r>
      <w:r w:rsidR="00641598">
        <w:rPr>
          <w:rStyle w:val="a5"/>
        </w:rPr>
        <w:t xml:space="preserve"> </w:t>
      </w:r>
      <w:r>
        <w:rPr>
          <w:rStyle w:val="a5"/>
        </w:rPr>
        <w:t>товар напрямую от производителя, минуя посредников. В некоторых случаях потенциальной жертве предлагается внести предоплату под предлогом возможности реализации товара иному клиенту.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Отдельным видом мошенничества является противоправная деятельность, направленная на обман лиц, находящихся в поисках удаленной работы. В данном случае кандидату предлагается осуществить оплату обучения по повышению квалификации либо страховых взносов, с условием последующей компенсации понесенных расходов, в случае выполнения трудовых обязанностей в течение оговоренного срока.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Подобным образом злоумышленниками реализовывается алгоритм мошеннической схемы, призванной убедить граждан приобретать занятия, направленные на осваивание либо повышение навыков в определенной сфере деятельности. После произведенной оплаты курсов покупатель попросту убеждается в бесполезности полученной информации.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Более сложным механизмом реализации отличается противоправная мошенническая деятельность, осуществляемая под предлогом обучения инвестированию и торговле электронными валютами, которая подразумевает финансовое вовлечение потенциальной жертвы в сферу цифровой коммерции. В данном случае злоумышленник позиционирует себя специалистом (менеджером, консультантом и т.д.), обладающим</w:t>
      </w:r>
      <w:r w:rsidR="00D81408">
        <w:rPr>
          <w:rStyle w:val="a5"/>
        </w:rPr>
        <w:t xml:space="preserve"> </w:t>
      </w:r>
      <w:r>
        <w:rPr>
          <w:rStyle w:val="a5"/>
        </w:rPr>
        <w:t xml:space="preserve">профессиональными знаниями и навыками в сфере онлайн-торговли, и убеждает потерпевшего регистрировать учетные записи на сервисах </w:t>
      </w:r>
      <w:proofErr w:type="spellStart"/>
      <w:r>
        <w:rPr>
          <w:rStyle w:val="a5"/>
        </w:rPr>
        <w:t>криптовалютных</w:t>
      </w:r>
      <w:proofErr w:type="spellEnd"/>
      <w:r>
        <w:rPr>
          <w:rStyle w:val="a5"/>
        </w:rPr>
        <w:t xml:space="preserve"> бирж, увеличивать цифровые активы. Зачастую жертва добровольно передает персональные и </w:t>
      </w:r>
      <w:proofErr w:type="spellStart"/>
      <w:r>
        <w:rPr>
          <w:rStyle w:val="a5"/>
        </w:rPr>
        <w:t>аутентификационные</w:t>
      </w:r>
      <w:proofErr w:type="spellEnd"/>
      <w:r>
        <w:rPr>
          <w:rStyle w:val="a5"/>
        </w:rPr>
        <w:t xml:space="preserve"> данные, устанавливает на компьютерных устройствах подозрительные приложения, позволяющие злоумышленнику осуществлять удаленный доступ к ним. По мере максимального увеличения цифрового депозита злоумышленник присваивает активы жертвы путем осуществления переводов на подконтрольные ему банковские счета и </w:t>
      </w:r>
      <w:proofErr w:type="spellStart"/>
      <w:r>
        <w:rPr>
          <w:rStyle w:val="a5"/>
        </w:rPr>
        <w:t>криптовалютные</w:t>
      </w:r>
      <w:proofErr w:type="spellEnd"/>
      <w:r>
        <w:rPr>
          <w:rStyle w:val="a5"/>
        </w:rPr>
        <w:t xml:space="preserve"> кошельки.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Следует отметить, что предлоги совершения мошеннических действий разнообразны и динамичны, систематически претерпевают изменения, что вызывает особую обеспокоенность и требует повышенной бдительности граждан.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 xml:space="preserve">Серьезную </w:t>
      </w:r>
      <w:proofErr w:type="spellStart"/>
      <w:r>
        <w:rPr>
          <w:rStyle w:val="a5"/>
        </w:rPr>
        <w:t>киберугрозу</w:t>
      </w:r>
      <w:proofErr w:type="spellEnd"/>
      <w:r>
        <w:rPr>
          <w:rStyle w:val="a5"/>
        </w:rPr>
        <w:t xml:space="preserve"> для населения представляют преступления, совершаемые путем модификации компьютерной информации, предусмотренные статьей 212 Уголовного кодекса.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 xml:space="preserve">Наиболее распространенным способом совершения указанного преступления является неправомерное завладение личными и </w:t>
      </w:r>
      <w:proofErr w:type="spellStart"/>
      <w:r>
        <w:rPr>
          <w:rStyle w:val="a5"/>
        </w:rPr>
        <w:t>аутентификационными</w:t>
      </w:r>
      <w:proofErr w:type="spellEnd"/>
      <w:r>
        <w:rPr>
          <w:rStyle w:val="a5"/>
        </w:rPr>
        <w:t xml:space="preserve"> данными с использованием методов социальной инженерии - </w:t>
      </w:r>
      <w:proofErr w:type="spellStart"/>
      <w:r>
        <w:rPr>
          <w:rStyle w:val="a5"/>
        </w:rPr>
        <w:t>фишинга</w:t>
      </w:r>
      <w:proofErr w:type="spellEnd"/>
      <w:r>
        <w:rPr>
          <w:rStyle w:val="a5"/>
        </w:rPr>
        <w:t xml:space="preserve"> и </w:t>
      </w:r>
      <w:proofErr w:type="spellStart"/>
      <w:r>
        <w:rPr>
          <w:rStyle w:val="a5"/>
        </w:rPr>
        <w:t>вишинга</w:t>
      </w:r>
      <w:proofErr w:type="spellEnd"/>
      <w:r>
        <w:rPr>
          <w:rStyle w:val="a5"/>
        </w:rPr>
        <w:t>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proofErr w:type="spellStart"/>
      <w:r>
        <w:rPr>
          <w:rStyle w:val="a5"/>
        </w:rPr>
        <w:lastRenderedPageBreak/>
        <w:t>Фишинг</w:t>
      </w:r>
      <w:proofErr w:type="spellEnd"/>
      <w:r>
        <w:rPr>
          <w:rStyle w:val="a5"/>
        </w:rPr>
        <w:t xml:space="preserve"> - противоправные действия, направленные на неправомерное завладение конфиденциальными данными, позволяющими осуществить доступ к учетным записям пользователей Интернет-ресурсов, банковским счетам, электронным кошелькам.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  <w:i/>
          <w:iCs/>
        </w:rPr>
        <w:t xml:space="preserve">К примеру, потенциальный потерпевший, осуществляя продажу товара, объявление о реализации которого размещено на Интернет- площадке, вступает в переписку со злоумышленником, который сообщает о намерении приобрести товар, при этом для оформления доставки предоставляет гиперссылку, ведущую на </w:t>
      </w:r>
      <w:proofErr w:type="spellStart"/>
      <w:r>
        <w:rPr>
          <w:rStyle w:val="a5"/>
          <w:i/>
          <w:iCs/>
        </w:rPr>
        <w:t>фишинговый</w:t>
      </w:r>
      <w:proofErr w:type="spellEnd"/>
      <w:r>
        <w:rPr>
          <w:rStyle w:val="a5"/>
          <w:i/>
          <w:iCs/>
        </w:rPr>
        <w:t xml:space="preserve"> Интернет-ресурс, с использованием которой получает необходимые конфиденциальные сведения о реквизитах банковской платежной карточки для осуществления удаленного доступа к счету. Потерпевший, пройдя по предоставленной гиперссылке, вводит </w:t>
      </w:r>
      <w:proofErr w:type="spellStart"/>
      <w:r>
        <w:rPr>
          <w:rStyle w:val="a5"/>
          <w:i/>
          <w:iCs/>
        </w:rPr>
        <w:t>аутентификационные</w:t>
      </w:r>
      <w:proofErr w:type="spellEnd"/>
      <w:r>
        <w:rPr>
          <w:rStyle w:val="a5"/>
          <w:i/>
          <w:iCs/>
        </w:rPr>
        <w:t xml:space="preserve"> данные и коды активизации платежных операций, тем самым предоставляя злоумышленнику возможность распоряжаться его активами.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proofErr w:type="spellStart"/>
      <w:r>
        <w:rPr>
          <w:rStyle w:val="a5"/>
        </w:rPr>
        <w:t>Вишинг</w:t>
      </w:r>
      <w:proofErr w:type="spellEnd"/>
      <w:r>
        <w:rPr>
          <w:rStyle w:val="a5"/>
        </w:rPr>
        <w:t xml:space="preserve"> - аналогичные по преступной направленности действия, отличающиеся непосредственным контактом с жертвой путем осуществления звонков посредством мобильной связи и в мессенджерах. Злоумышленники представляются сотрудниками правоохранительных органов, работниками банковских учреждений, операторов связи, организаций, деятельность которых связана с выполнением договорных</w:t>
      </w:r>
      <w:r w:rsidR="00D81408">
        <w:rPr>
          <w:rStyle w:val="a5"/>
        </w:rPr>
        <w:t xml:space="preserve"> </w:t>
      </w:r>
      <w:r>
        <w:rPr>
          <w:rStyle w:val="a5"/>
        </w:rPr>
        <w:t xml:space="preserve">обязательств, обусловленных оказанием определенного перечня услуг населению (установкой приборов индивидуального учета ресурсов, обслуживанием газового оборудования, домофонов и т.п.). Создавая мнимую срочность осуществления определенной административной процедуры, преступники убеждают пройти по гиперссылке, ведущей на </w:t>
      </w:r>
      <w:proofErr w:type="spellStart"/>
      <w:r>
        <w:rPr>
          <w:rStyle w:val="a5"/>
        </w:rPr>
        <w:t>фишинговый</w:t>
      </w:r>
      <w:proofErr w:type="spellEnd"/>
      <w:r>
        <w:rPr>
          <w:rStyle w:val="a5"/>
        </w:rPr>
        <w:t xml:space="preserve"> Интернет-ресурс, либо установить программное обеспечение, позволяющее осуществить удаленный доступ к устройству. Завладев интересующими данными, злоумышленники получают доступ к счетам, а также учетным записям, которые используют в дальнейшем для осуществления противоправной деятельности.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  <w:i/>
          <w:iCs/>
        </w:rPr>
        <w:t>К примеру, под предлогом изменения условий договора либо истечения срока действия соглашения злоумышленник заполучает паспортные данные потенциальной жертвы, а также коды подтверждения, поступающие посредством СМС-оповещений либо электронной почты, с использованием которых верифицирует учетные записи в соответствующих приложениях и получает к ним доступ.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  <w:i/>
          <w:iCs/>
        </w:rPr>
        <w:t xml:space="preserve">Особый вид психологического воздействия и манипуляций заключается в имитации злоумышленниками деятельности сотрудников правоохранительных органов. Используемые психологические приемы вызывают доверие и интерес к преступнику либо напротив </w:t>
      </w:r>
      <w:r>
        <w:rPr>
          <w:rStyle w:val="a5"/>
          <w:i/>
          <w:iCs/>
          <w:color w:val="2D2D2E"/>
        </w:rPr>
        <w:t xml:space="preserve">- </w:t>
      </w:r>
      <w:r>
        <w:rPr>
          <w:rStyle w:val="a5"/>
          <w:i/>
          <w:iCs/>
        </w:rPr>
        <w:t xml:space="preserve">провоцируют тревогу и неконтролируемые эмоции. Предлоги, под которыми скрываются противоправные действия злоумышленников, разнообразны </w:t>
      </w:r>
      <w:r>
        <w:rPr>
          <w:rStyle w:val="a5"/>
          <w:i/>
          <w:iCs/>
          <w:color w:val="2D2D2E"/>
        </w:rPr>
        <w:t xml:space="preserve">- </w:t>
      </w:r>
      <w:r>
        <w:rPr>
          <w:rStyle w:val="a5"/>
          <w:i/>
          <w:iCs/>
        </w:rPr>
        <w:t xml:space="preserve">оказание содействия правоохранительным органам в изобличении лиц, причастных к совершению преступлений, выявление </w:t>
      </w:r>
      <w:r>
        <w:rPr>
          <w:rStyle w:val="a5"/>
          <w:i/>
          <w:iCs/>
        </w:rPr>
        <w:lastRenderedPageBreak/>
        <w:t>мошеннических схем, опровержение вовлеченности в противоправную деятельность, финансирования таковой и т.п.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 xml:space="preserve">Вариативность </w:t>
      </w:r>
      <w:proofErr w:type="spellStart"/>
      <w:r>
        <w:rPr>
          <w:rStyle w:val="a5"/>
        </w:rPr>
        <w:t>кибератак</w:t>
      </w:r>
      <w:proofErr w:type="spellEnd"/>
      <w:r>
        <w:rPr>
          <w:rStyle w:val="a5"/>
        </w:rPr>
        <w:t xml:space="preserve"> также обусловлена модернизацией способов совершения преступлений, внедрением передовых информационных технологий, в частности использованием аудиовизуального контента, созданного с использованием искусственного интеллекта, а именно имитации голоса и внешности человека.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</w:rPr>
        <w:t>В данном случае речь идет об использовании злоумышленниками различных файлов, зачастую полученных неправомерным путем, для создания контента, позволяющего совершить преступление в отношении определенного лица.</w:t>
      </w:r>
    </w:p>
    <w:p w:rsidR="00B45507" w:rsidRDefault="0021032F" w:rsidP="00EE4128">
      <w:pPr>
        <w:pStyle w:val="1"/>
        <w:spacing w:line="240" w:lineRule="auto"/>
        <w:ind w:firstLine="720"/>
        <w:jc w:val="both"/>
      </w:pPr>
      <w:r>
        <w:rPr>
          <w:rStyle w:val="a5"/>
          <w:i/>
          <w:iCs/>
        </w:rPr>
        <w:t xml:space="preserve">К примеру, противоправные действия преступника изначально могут быть направлены на несанкционированный доступ к электронным данным, хранящимся в мессенджерах, социальных сетях, памяти электронных устройств, с использованием которых в последующем злоумышленник, прибегая к технологиям </w:t>
      </w:r>
      <w:proofErr w:type="spellStart"/>
      <w:r>
        <w:rPr>
          <w:rStyle w:val="a5"/>
          <w:i/>
          <w:iCs/>
        </w:rPr>
        <w:t>нейросетей</w:t>
      </w:r>
      <w:proofErr w:type="spellEnd"/>
      <w:r>
        <w:rPr>
          <w:rStyle w:val="a5"/>
          <w:i/>
          <w:iCs/>
        </w:rPr>
        <w:t xml:space="preserve">, распространяет созданный для определенной аудитории (как правило, контактов потерпевшего) контент </w:t>
      </w:r>
      <w:r>
        <w:rPr>
          <w:rStyle w:val="a5"/>
          <w:i/>
          <w:iCs/>
          <w:color w:val="2D2D2E"/>
        </w:rPr>
        <w:t xml:space="preserve">- </w:t>
      </w:r>
      <w:r>
        <w:rPr>
          <w:rStyle w:val="a5"/>
          <w:i/>
          <w:iCs/>
        </w:rPr>
        <w:t>аудио- и видеофайлы, позволяющие</w:t>
      </w:r>
      <w:r w:rsidR="00D81408">
        <w:rPr>
          <w:rStyle w:val="a5"/>
          <w:i/>
          <w:iCs/>
        </w:rPr>
        <w:t xml:space="preserve"> </w:t>
      </w:r>
      <w:r>
        <w:rPr>
          <w:rStyle w:val="a5"/>
          <w:i/>
          <w:iCs/>
        </w:rPr>
        <w:t>идентифицировать лицо (родственника, коллегу, знакомого и т.п.) с просьбой либо требованием выполнить конкретные действия, позволяющие ему реализовать криминальные намерения (предоставить денежные средства в долг, оказать материальную помощь лицам, страдающим тяжелым заболеванием, принять участие в благотворительной акции и т.п.).</w:t>
      </w:r>
    </w:p>
    <w:p w:rsidR="00B45507" w:rsidRDefault="0021032F" w:rsidP="00EE4128">
      <w:pPr>
        <w:pStyle w:val="1"/>
        <w:spacing w:line="240" w:lineRule="auto"/>
        <w:ind w:firstLine="740"/>
        <w:jc w:val="both"/>
      </w:pPr>
      <w:r>
        <w:rPr>
          <w:rStyle w:val="a5"/>
          <w:i/>
          <w:iCs/>
        </w:rPr>
        <w:t xml:space="preserve">Обезопасить себя от </w:t>
      </w:r>
      <w:proofErr w:type="spellStart"/>
      <w:r>
        <w:rPr>
          <w:rStyle w:val="a5"/>
          <w:i/>
          <w:iCs/>
        </w:rPr>
        <w:t>киберугроз</w:t>
      </w:r>
      <w:proofErr w:type="spellEnd"/>
      <w:r>
        <w:rPr>
          <w:rStyle w:val="a5"/>
          <w:i/>
          <w:iCs/>
        </w:rPr>
        <w:t xml:space="preserve"> и имущественного вреда возможно, следуя базовым правилам, заключающимся в верификации получаемой с использованием Интернет-ресурсов информации и защите конфиденциальных данных.</w:t>
      </w:r>
    </w:p>
    <w:p w:rsidR="00B45507" w:rsidRDefault="0021032F" w:rsidP="00EE4128">
      <w:pPr>
        <w:pStyle w:val="1"/>
        <w:spacing w:line="240" w:lineRule="auto"/>
        <w:ind w:firstLine="740"/>
        <w:jc w:val="both"/>
      </w:pPr>
      <w:r>
        <w:rPr>
          <w:rStyle w:val="a5"/>
          <w:i/>
          <w:iCs/>
        </w:rPr>
        <w:t>Принимая во внимание изложенное, гражданам следует анализировать и подвергать сомнению сведения, получаемые посредством доступа к сервисам глобальной сети Интернет, прежде чем совершать какие-либо действия по указанию лиц, которые заведомо могут сообщать заведомо ложную информацию и преследовать преступные цели.</w:t>
      </w:r>
    </w:p>
    <w:p w:rsidR="00B45507" w:rsidRDefault="0021032F" w:rsidP="00EE4128">
      <w:pPr>
        <w:pStyle w:val="1"/>
        <w:spacing w:line="240" w:lineRule="auto"/>
        <w:ind w:firstLine="740"/>
        <w:jc w:val="both"/>
      </w:pPr>
      <w:r>
        <w:rPr>
          <w:rStyle w:val="a5"/>
          <w:i/>
          <w:iCs/>
        </w:rPr>
        <w:t>В случаях, когда общение с представителями правоохранительных ведомств, банковских учреждений, операторов связи, государственных и частных юридических лиц, посредством мобильной связи либо в мессенджерах вызывает сомнение относительно правдивости предоставляемой информации, необходимо незамедлительно завершить разговор и обратиться к представителям данных организаций, используя официальные контакты.</w:t>
      </w:r>
    </w:p>
    <w:p w:rsidR="00B45507" w:rsidRDefault="0021032F" w:rsidP="00EE4128">
      <w:pPr>
        <w:pStyle w:val="1"/>
        <w:spacing w:line="240" w:lineRule="auto"/>
        <w:ind w:firstLine="740"/>
        <w:jc w:val="both"/>
      </w:pPr>
      <w:r>
        <w:rPr>
          <w:rStyle w:val="a5"/>
          <w:i/>
          <w:iCs/>
        </w:rPr>
        <w:t xml:space="preserve">Значительной уязвимости при общении с преступниками подвержены несовершеннолетние ввиду возрастных особенностей эмоционально-волевой сферы и чрезмерной доверчивости. В этой связи необходимо убедить ребенка незамедлительно сообщать родителям о подозрительном общении с незнакомыми лицами, научить правильно противостоять проявлениям </w:t>
      </w:r>
      <w:r>
        <w:rPr>
          <w:rStyle w:val="a5"/>
          <w:i/>
          <w:iCs/>
        </w:rPr>
        <w:lastRenderedPageBreak/>
        <w:t>преступности в сфере информационно</w:t>
      </w:r>
      <w:r w:rsidR="00D81408">
        <w:rPr>
          <w:rStyle w:val="a5"/>
          <w:i/>
          <w:iCs/>
        </w:rPr>
        <w:t>-</w:t>
      </w:r>
      <w:r>
        <w:rPr>
          <w:rStyle w:val="a5"/>
          <w:i/>
          <w:iCs/>
        </w:rPr>
        <w:softHyphen/>
        <w:t>коммуникационных технологий.</w:t>
      </w:r>
    </w:p>
    <w:p w:rsidR="00B45507" w:rsidRDefault="0021032F" w:rsidP="00EE4128">
      <w:pPr>
        <w:pStyle w:val="1"/>
        <w:spacing w:line="240" w:lineRule="auto"/>
        <w:ind w:firstLine="740"/>
        <w:jc w:val="both"/>
      </w:pPr>
      <w:r>
        <w:rPr>
          <w:rStyle w:val="a5"/>
          <w:i/>
          <w:iCs/>
        </w:rPr>
        <w:t xml:space="preserve">Эффективным способом противодействия </w:t>
      </w:r>
      <w:proofErr w:type="spellStart"/>
      <w:r>
        <w:rPr>
          <w:rStyle w:val="a5"/>
          <w:i/>
          <w:iCs/>
        </w:rPr>
        <w:t>киберугрозам</w:t>
      </w:r>
      <w:proofErr w:type="spellEnd"/>
      <w:r>
        <w:rPr>
          <w:rStyle w:val="a5"/>
          <w:i/>
          <w:iCs/>
        </w:rPr>
        <w:t xml:space="preserve"> по-прежнему остается соблюдение принципа конфиденциальности информации: не следует сообщать лицам, удостоверить принадлежность которых к определенной сфере или конкретной индустрии не представляется возможным, паспортные данные, реквизиты банковских платежных карточек, верификационные данные учетных записей и иную конфиденциальную информацию, использование которой позволит преступнику реализовать преступный умысел.</w:t>
      </w:r>
    </w:p>
    <w:p w:rsidR="00B45507" w:rsidRDefault="0021032F" w:rsidP="00EE4128">
      <w:pPr>
        <w:pStyle w:val="1"/>
        <w:spacing w:line="240" w:lineRule="auto"/>
        <w:ind w:firstLine="740"/>
        <w:jc w:val="both"/>
      </w:pPr>
      <w:r>
        <w:rPr>
          <w:rStyle w:val="a5"/>
        </w:rPr>
        <w:t xml:space="preserve">Также следует отметить, что преступники нередко вовлекают граждан в противоправную деятельность под предлогом оказания услуг, связанных с регистрацией и предоставлением реквизитов банковских платежных карточек либо </w:t>
      </w:r>
      <w:proofErr w:type="spellStart"/>
      <w:r>
        <w:rPr>
          <w:rStyle w:val="a5"/>
        </w:rPr>
        <w:t>аутентификационных</w:t>
      </w:r>
      <w:proofErr w:type="spellEnd"/>
      <w:r>
        <w:rPr>
          <w:rStyle w:val="a5"/>
        </w:rPr>
        <w:t xml:space="preserve"> данных.</w:t>
      </w:r>
    </w:p>
    <w:p w:rsidR="00B45507" w:rsidRDefault="0021032F" w:rsidP="00EE4128">
      <w:pPr>
        <w:pStyle w:val="1"/>
        <w:spacing w:line="240" w:lineRule="auto"/>
        <w:ind w:firstLine="700"/>
        <w:jc w:val="both"/>
      </w:pPr>
      <w:r>
        <w:rPr>
          <w:rStyle w:val="a5"/>
        </w:rPr>
        <w:t xml:space="preserve">Законодательством Республики Беларусь предусмотрена административная ответственность за незаконное предоставление из корыстных побуждений, находящихся в законном владении лица реквизитов банковских платежных карточек либо </w:t>
      </w:r>
      <w:proofErr w:type="spellStart"/>
      <w:r>
        <w:rPr>
          <w:rStyle w:val="a5"/>
        </w:rPr>
        <w:t>аутентификационных</w:t>
      </w:r>
      <w:proofErr w:type="spellEnd"/>
      <w:r>
        <w:rPr>
          <w:rStyle w:val="a5"/>
        </w:rPr>
        <w:t xml:space="preserve"> данных, посредством которых возможно получение доступа к счетам, электронным и виртуальным кошелькам (часть 1 статьи 12.35 Кодекса об административных правонарушениях).</w:t>
      </w:r>
    </w:p>
    <w:p w:rsidR="00B45507" w:rsidRDefault="0021032F" w:rsidP="00EE4128">
      <w:pPr>
        <w:pStyle w:val="1"/>
        <w:spacing w:line="240" w:lineRule="auto"/>
        <w:ind w:firstLine="700"/>
        <w:jc w:val="both"/>
      </w:pPr>
      <w:r>
        <w:rPr>
          <w:rStyle w:val="a5"/>
        </w:rPr>
        <w:t>За совершение административного правонарушения, предусмотренного частью 1 статьи 12.35 (незаконное предоставление реквизитов платежных инструментов) Кодекса об административных правонарушениях, лицо может быть подвергнуто штрафу в размере от пяти до тридцати базовых величин.</w:t>
      </w:r>
    </w:p>
    <w:p w:rsidR="00B45507" w:rsidRDefault="0021032F" w:rsidP="00EE4128">
      <w:pPr>
        <w:pStyle w:val="1"/>
        <w:spacing w:line="240" w:lineRule="auto"/>
        <w:ind w:firstLine="700"/>
        <w:jc w:val="both"/>
      </w:pPr>
      <w:r>
        <w:rPr>
          <w:rStyle w:val="a5"/>
        </w:rPr>
        <w:t>Статьей 222 Уголовного кодекса предусмотрена ответственность за незаконный оборот платежных инструментов, средств платежа и их реквизитов.</w:t>
      </w:r>
    </w:p>
    <w:p w:rsidR="00B45507" w:rsidRDefault="0021032F" w:rsidP="00EE4128">
      <w:pPr>
        <w:pStyle w:val="1"/>
        <w:spacing w:line="240" w:lineRule="auto"/>
        <w:ind w:firstLine="700"/>
        <w:jc w:val="both"/>
      </w:pPr>
      <w:r>
        <w:rPr>
          <w:rStyle w:val="a5"/>
        </w:rPr>
        <w:t>Распространение из корыстных побуждений</w:t>
      </w:r>
      <w:r w:rsidR="00EE4128">
        <w:rPr>
          <w:rStyle w:val="a5"/>
        </w:rPr>
        <w:t>,</w:t>
      </w:r>
      <w:r>
        <w:rPr>
          <w:rStyle w:val="a5"/>
        </w:rPr>
        <w:t xml:space="preserve"> находящихся в незаконном владении лица реквизитов банковских платежных карточек либо </w:t>
      </w:r>
      <w:proofErr w:type="spellStart"/>
      <w:r>
        <w:rPr>
          <w:rStyle w:val="a5"/>
        </w:rPr>
        <w:t>аутентификационных</w:t>
      </w:r>
      <w:proofErr w:type="spellEnd"/>
      <w:r>
        <w:rPr>
          <w:rStyle w:val="a5"/>
        </w:rPr>
        <w:t xml:space="preserve"> данных, посредством которых возможно получение доступа к счетам, электронным или виртуальным кошелькам, наказывается штрафом, или исправительными работами на срок до двух лет, или ограничением свободы на срок до трех лет, или лишением свободы на тот же срок (часть 1 статьи 222 Уголовного кодекса).</w:t>
      </w:r>
    </w:p>
    <w:p w:rsidR="00B45507" w:rsidRDefault="0021032F" w:rsidP="00EE4128">
      <w:pPr>
        <w:pStyle w:val="1"/>
        <w:spacing w:line="240" w:lineRule="auto"/>
        <w:ind w:firstLine="700"/>
        <w:jc w:val="both"/>
      </w:pPr>
      <w:r>
        <w:rPr>
          <w:rStyle w:val="a5"/>
        </w:rPr>
        <w:t>Изготовление в целях сбыта или сбыт поддельных банковских платежных карточек, иных платежных инструментов и (или) средств платежа наказываются штрафом, или арестом, или ограничением свободы на срок до пяти лет, или лишением свободы на тот же срок (часть 2 стать</w:t>
      </w:r>
      <w:bookmarkStart w:id="0" w:name="_GoBack"/>
      <w:bookmarkEnd w:id="0"/>
      <w:r>
        <w:rPr>
          <w:rStyle w:val="a5"/>
        </w:rPr>
        <w:t>и 222 Уголовного кодекса).</w:t>
      </w:r>
    </w:p>
    <w:sectPr w:rsidR="00B45507" w:rsidSect="00C5357F">
      <w:headerReference w:type="default" r:id="rId6"/>
      <w:pgSz w:w="11900" w:h="16840"/>
      <w:pgMar w:top="1130" w:right="1125" w:bottom="1717" w:left="1088" w:header="0" w:footer="1289" w:gutter="0"/>
      <w:pgBorders w:offsetFrom="page">
        <w:top w:val="triple" w:sz="4" w:space="24" w:color="1F3864" w:themeColor="accent5" w:themeShade="80"/>
        <w:left w:val="triple" w:sz="4" w:space="24" w:color="1F3864" w:themeColor="accent5" w:themeShade="80"/>
        <w:bottom w:val="triple" w:sz="4" w:space="24" w:color="1F3864" w:themeColor="accent5" w:themeShade="80"/>
        <w:right w:val="triple" w:sz="4" w:space="24" w:color="1F3864" w:themeColor="accent5" w:themeShade="80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14" w:rsidRDefault="001A2E14">
      <w:r>
        <w:separator/>
      </w:r>
    </w:p>
  </w:endnote>
  <w:endnote w:type="continuationSeparator" w:id="0">
    <w:p w:rsidR="001A2E14" w:rsidRDefault="001A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14" w:rsidRDefault="001A2E14"/>
  </w:footnote>
  <w:footnote w:type="continuationSeparator" w:id="0">
    <w:p w:rsidR="001A2E14" w:rsidRDefault="001A2E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507" w:rsidRDefault="0021032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3856990</wp:posOffset>
              </wp:positionH>
              <wp:positionV relativeFrom="page">
                <wp:posOffset>486410</wp:posOffset>
              </wp:positionV>
              <wp:extent cx="79375" cy="1308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5507" w:rsidRDefault="0021032F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357F">
                            <w:rPr>
                              <w:rStyle w:val="21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6" type="#_x0000_t202" style="position:absolute;margin-left:303.7pt;margin-top:38.3pt;width:6.25pt;height:10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" filled="f" stroked="f">
              <v:textbox style="mso-fit-shape-to-text:t" inset="0,0,0,0">
                <w:txbxContent>
                  <w:p w:rsidR="00B45507" w:rsidRDefault="0021032F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1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Style w:val="21"/>
                        <w:sz w:val="28"/>
                        <w:szCs w:val="28"/>
                      </w:rPr>
                      <w:fldChar w:fldCharType="separate"/>
                    </w:r>
                    <w:r w:rsidR="00C5357F">
                      <w:rPr>
                        <w:rStyle w:val="21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2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07"/>
    <w:rsid w:val="00085ECF"/>
    <w:rsid w:val="001A2E14"/>
    <w:rsid w:val="0021032F"/>
    <w:rsid w:val="004F62CB"/>
    <w:rsid w:val="00641598"/>
    <w:rsid w:val="00B45507"/>
    <w:rsid w:val="00C5357F"/>
    <w:rsid w:val="00D81408"/>
    <w:rsid w:val="00E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0455D-5CD3-43F9-98EF-BFC6887A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F82D4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F82D4"/>
      <w:sz w:val="14"/>
      <w:szCs w:val="14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F82D4"/>
      <w:sz w:val="13"/>
      <w:szCs w:val="13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paragraph" w:customStyle="1" w:styleId="30">
    <w:name w:val="Основной текст (3)"/>
    <w:basedOn w:val="a"/>
    <w:link w:val="3"/>
    <w:pPr>
      <w:spacing w:after="50" w:line="269" w:lineRule="auto"/>
      <w:jc w:val="center"/>
    </w:pPr>
    <w:rPr>
      <w:rFonts w:ascii="Times New Roman" w:eastAsia="Times New Roman" w:hAnsi="Times New Roman" w:cs="Times New Roman"/>
      <w:color w:val="5F82D4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50"/>
      <w:ind w:left="30"/>
      <w:jc w:val="center"/>
    </w:pPr>
    <w:rPr>
      <w:rFonts w:ascii="Times New Roman" w:eastAsia="Times New Roman" w:hAnsi="Times New Roman" w:cs="Times New Roman"/>
      <w:color w:val="5F82D4"/>
      <w:sz w:val="14"/>
      <w:szCs w:val="14"/>
    </w:rPr>
  </w:style>
  <w:style w:type="paragraph" w:customStyle="1" w:styleId="a4">
    <w:name w:val="Подпись к картинке"/>
    <w:basedOn w:val="a"/>
    <w:link w:val="a3"/>
    <w:pPr>
      <w:spacing w:line="228" w:lineRule="auto"/>
      <w:jc w:val="center"/>
    </w:pPr>
    <w:rPr>
      <w:rFonts w:ascii="Times New Roman" w:eastAsia="Times New Roman" w:hAnsi="Times New Roman" w:cs="Times New Roman"/>
      <w:color w:val="5F82D4"/>
      <w:sz w:val="13"/>
      <w:szCs w:val="13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7</cp:revision>
  <dcterms:created xsi:type="dcterms:W3CDTF">2026-06-02T06:53:00Z</dcterms:created>
  <dcterms:modified xsi:type="dcterms:W3CDTF">2026-06-02T07:07:00Z</dcterms:modified>
</cp:coreProperties>
</file>