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34F8" w14:textId="77777777" w:rsidR="00061897" w:rsidRPr="00D93D75" w:rsidRDefault="00BE281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93D75">
        <w:rPr>
          <w:rFonts w:ascii="Times New Roman" w:eastAsia="Times New Roman" w:hAnsi="Times New Roman" w:cs="Times New Roman"/>
          <w:sz w:val="26"/>
          <w:szCs w:val="26"/>
        </w:rPr>
        <w:t>УДК 658.8:004.9</w:t>
      </w:r>
    </w:p>
    <w:p w14:paraId="442BE4B6" w14:textId="77777777" w:rsidR="00061897" w:rsidRPr="00D93D75" w:rsidRDefault="0006189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F1F30E" w14:textId="77777777" w:rsidR="00061897" w:rsidRPr="00D93D75" w:rsidRDefault="00BE2811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</w:pP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t>Оценка эффективности генеративной политики</w:t>
      </w: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</w:rPr>
        <w:br/>
        <w:t>при оптимизации проектных решений</w:t>
      </w:r>
    </w:p>
    <w:p w14:paraId="7706513A" w14:textId="77777777" w:rsidR="00061897" w:rsidRPr="00D93D75" w:rsidRDefault="00061897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22"/>
        <w:tblW w:w="425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3984"/>
      </w:tblGrid>
      <w:tr w:rsidR="00061897" w:rsidRPr="00D93D75" w14:paraId="629CD429" w14:textId="77777777">
        <w:trPr>
          <w:trHeight w:val="213"/>
          <w:jc w:val="center"/>
        </w:trPr>
        <w:tc>
          <w:tcPr>
            <w:tcW w:w="2500" w:type="pct"/>
          </w:tcPr>
          <w:p w14:paraId="4867028D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93D75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068043B6" wp14:editId="01B24881">
                  <wp:extent cx="1303020" cy="1443990"/>
                  <wp:effectExtent l="0" t="0" r="0" b="3810"/>
                  <wp:docPr id="72500611" name="Рисунок 72500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00611" name="Рисунок 7250061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2D9A507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r w:rsidRPr="00D93D75">
              <w:rPr>
                <w:rFonts w:ascii="Times New Roman" w:eastAsia="Calibri" w:hAnsi="Times New Roman" w:cs="Times New Roman"/>
                <w:noProof/>
                <w:szCs w:val="18"/>
                <w:lang w:eastAsia="ru-RU"/>
              </w:rPr>
              <w:drawing>
                <wp:inline distT="0" distB="0" distL="0" distR="0" wp14:anchorId="2F9436DC" wp14:editId="64096007">
                  <wp:extent cx="1303020" cy="144399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443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897" w:rsidRPr="00D93D75" w14:paraId="1EA5EAB3" w14:textId="77777777">
        <w:trPr>
          <w:trHeight w:val="213"/>
          <w:jc w:val="center"/>
        </w:trPr>
        <w:tc>
          <w:tcPr>
            <w:tcW w:w="2500" w:type="pct"/>
          </w:tcPr>
          <w:p w14:paraId="358401D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3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В.Ф. Алексеев</w:t>
            </w:r>
          </w:p>
          <w:p w14:paraId="2447398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93D75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5B7687CB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10" w:history="1">
              <w:r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alexvikt</w:t>
              </w:r>
              <w:r w:rsidRPr="00D93D75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.minsk</w:t>
              </w:r>
              <w:r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@</w:t>
              </w:r>
              <w:r w:rsidRPr="00D93D75">
                <w:rPr>
                  <w:rStyle w:val="a4"/>
                  <w:rFonts w:ascii="Times New Roman" w:eastAsia="Calibri" w:hAnsi="Times New Roman" w:cs="Times New Roman"/>
                  <w:i/>
                  <w:lang w:val="en-US"/>
                </w:rPr>
                <w:t>gmail.com</w:t>
              </w:r>
            </w:hyperlink>
          </w:p>
        </w:tc>
        <w:tc>
          <w:tcPr>
            <w:tcW w:w="2500" w:type="pct"/>
          </w:tcPr>
          <w:p w14:paraId="6D4466D6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93D7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Д.В. Лихачевский</w:t>
            </w:r>
          </w:p>
          <w:p w14:paraId="742A15C0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93D75">
              <w:rPr>
                <w:rFonts w:ascii="Times New Roman" w:eastAsia="Calibri" w:hAnsi="Times New Roman" w:cs="Times New Roman"/>
                <w:i/>
              </w:rPr>
              <w:t>Доцент кафедры проектирования информационно-компьютерных систем БГУИР, кандидат технических наук, доцент</w:t>
            </w:r>
          </w:p>
          <w:p w14:paraId="0D916A41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18"/>
              </w:rPr>
            </w:pPr>
            <w:hyperlink r:id="rId11" w:history="1">
              <w:r w:rsidRPr="00D93D75">
                <w:rPr>
                  <w:rStyle w:val="a4"/>
                  <w:rFonts w:ascii="Times New Roman" w:eastAsia="Calibri" w:hAnsi="Times New Roman" w:cs="Times New Roman"/>
                  <w:i/>
                </w:rPr>
                <w:t>likhachevskyd@bsuir.by</w:t>
              </w:r>
            </w:hyperlink>
          </w:p>
        </w:tc>
      </w:tr>
    </w:tbl>
    <w:p w14:paraId="5E299983" w14:textId="77777777" w:rsidR="00061897" w:rsidRPr="00D93D75" w:rsidRDefault="00061897">
      <w:pPr>
        <w:suppressAutoHyphens/>
        <w:spacing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CF3112D" w14:textId="77777777" w:rsidR="00061897" w:rsidRPr="00D93D75" w:rsidRDefault="00BE281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i/>
          <w:sz w:val="20"/>
          <w:szCs w:val="20"/>
        </w:rPr>
        <w:t>В.Ф. Алексеев</w:t>
      </w:r>
    </w:p>
    <w:p w14:paraId="13E6DC58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Окончил Минский радиотехнический институт. Область научных интересов связана с разработкой методов и</w:t>
      </w:r>
      <w:r w:rsidR="00526E91" w:rsidRPr="00D93D7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алгоритмов построения информационно-компьютерных систем, организацией учебного и научно-исследовательского процессов в техническом университете.</w:t>
      </w:r>
    </w:p>
    <w:p w14:paraId="1A9FCC26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F679FC6" w14:textId="77777777" w:rsidR="00061897" w:rsidRPr="00D93D75" w:rsidRDefault="00BE2811">
      <w:pPr>
        <w:suppressAutoHyphens/>
        <w:spacing w:after="0" w:line="240" w:lineRule="auto"/>
        <w:ind w:right="-1"/>
        <w:rPr>
          <w:rFonts w:ascii="Times New Roman" w:hAnsi="Times New Roman" w:cs="Times New Roman"/>
          <w:i/>
          <w:iCs/>
          <w:sz w:val="20"/>
          <w:szCs w:val="20"/>
          <w:lang w:eastAsia="zh-CN"/>
        </w:rPr>
      </w:pPr>
      <w:r w:rsidRPr="00D93D75"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  <w:t xml:space="preserve">Д.В. Лихаческий </w:t>
      </w:r>
    </w:p>
    <w:p w14:paraId="45696431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i/>
          <w:sz w:val="20"/>
          <w:szCs w:val="20"/>
        </w:rPr>
        <w:t>Окончил Белорусский государственный университет информатики и радиоэлектроники. Область научных интересов связана с исследованием проблем радиочастотной идентификации объектов, организацией учебного и научно-исследовательского процессов в техническом университете.</w:t>
      </w:r>
    </w:p>
    <w:p w14:paraId="77358FFA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5CE16467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 xml:space="preserve">Аннотация.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В статье рассматривается применение генеративной политики как эффективного инструмента для оптимизации проектных решений в различных областях деятельности. </w:t>
      </w:r>
    </w:p>
    <w:p w14:paraId="4DD5A38D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bCs/>
          <w:sz w:val="20"/>
          <w:szCs w:val="20"/>
        </w:rPr>
        <w:t>Ключевые</w:t>
      </w: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 xml:space="preserve"> слова: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>генеративная политика, алгоритмические решения, оптимизации проектных решений, машинное обучение, искусственный интеллект, ключевые индикаторы эффективности</w:t>
      </w:r>
    </w:p>
    <w:p w14:paraId="17F033CA" w14:textId="77777777" w:rsidR="00061897" w:rsidRPr="00D93D75" w:rsidRDefault="00061897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zh-CN"/>
        </w:rPr>
      </w:pPr>
    </w:p>
    <w:p w14:paraId="74FF7E82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Введение.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В условиях глобализации и стремительного развития технологий организации сталкиваются с необходимостью быстрого и эффективного принятия решений в рамках проектной деятельности. </w:t>
      </w:r>
      <w:bookmarkStart w:id="0" w:name="_Hlk192766541"/>
      <w:r w:rsidRPr="00D93D75">
        <w:rPr>
          <w:rFonts w:ascii="Times New Roman" w:eastAsia="Times New Roman" w:hAnsi="Times New Roman" w:cs="Times New Roman"/>
          <w:sz w:val="24"/>
          <w:szCs w:val="24"/>
        </w:rPr>
        <w:t>Генеративная политика</w:t>
      </w:r>
      <w:bookmarkEnd w:id="0"/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, как многообещающий подход, предполагает использование </w:t>
      </w:r>
      <w:bookmarkStart w:id="1" w:name="_Hlk192766563"/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алгоритмических решений </w:t>
      </w:r>
      <w:bookmarkEnd w:id="1"/>
      <w:r w:rsidRPr="00D93D75">
        <w:rPr>
          <w:rFonts w:ascii="Times New Roman" w:eastAsia="Times New Roman" w:hAnsi="Times New Roman" w:cs="Times New Roman"/>
          <w:sz w:val="24"/>
          <w:szCs w:val="24"/>
        </w:rPr>
        <w:t>для генерации и анализа альтернативных вариантов действий, что делает его особенно ценным в контексте оптимизации проектных решений [1, 2]. Этот подход не только позволяет существенно расширить пространственный диапазон возможностей, но и обеспечивает более гибкий и адаптивный процесс разработки проектов.</w:t>
      </w:r>
    </w:p>
    <w:p w14:paraId="08A52EED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Ключевые аспекты генеративной политики.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Генеративная политика – это подход в управлении и принятии решений, который сосредотачивается на создании, анализе и оптимизации множества вариантов и сценариев действий. В отличие от традиционных методов проектирования, которые часто основываются на заранее определенных параметрах и фиксированных алгоритмах, генеративная политика использует алгоритмические средства, модели и средства анализа данных для генерации новых, нестандартных решений. </w:t>
      </w:r>
    </w:p>
    <w:p w14:paraId="4405EA94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sz w:val="24"/>
          <w:szCs w:val="24"/>
        </w:rPr>
        <w:lastRenderedPageBreak/>
        <w:t>Авторы предлагают рассмотреть следующие основные аспекты, которые следует учитывать при определении KPI (рисунок 1).</w:t>
      </w:r>
    </w:p>
    <w:p w14:paraId="3204F740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8E10AB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B5CFAC" wp14:editId="17ECDF3D">
            <wp:extent cx="2374265" cy="237426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640" cy="23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2F5B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FC1F3" w14:textId="77777777" w:rsidR="00061897" w:rsidRPr="00D93D75" w:rsidRDefault="00BE2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Droid Sans Fallback" w:hAnsi="Times New Roman" w:cs="Times New Roman"/>
          <w:i/>
          <w:kern w:val="1"/>
          <w:sz w:val="24"/>
          <w:szCs w:val="24"/>
          <w:lang w:eastAsia="zh-CN" w:bidi="hi-IN"/>
        </w:rPr>
        <w:t>Рисунок 1.</w:t>
      </w:r>
      <w:r w:rsidRPr="00D93D7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Основные аспекты ключевых индикаторов эффективности</w:t>
      </w:r>
    </w:p>
    <w:p w14:paraId="2E4065EA" w14:textId="77777777" w:rsidR="00061897" w:rsidRPr="00D93D75" w:rsidRDefault="000618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2854A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Заключение.</w:t>
      </w:r>
      <w:bookmarkStart w:id="2" w:name="_heading=h.30j0zll" w:colFirst="0" w:colLast="0"/>
      <w:bookmarkEnd w:id="2"/>
      <w:r w:rsidRPr="00D93D7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3D75">
        <w:rPr>
          <w:rFonts w:ascii="Times New Roman" w:eastAsia="Times New Roman" w:hAnsi="Times New Roman" w:cs="Times New Roman"/>
          <w:sz w:val="24"/>
          <w:szCs w:val="24"/>
        </w:rPr>
        <w:t xml:space="preserve">Исследования эффективности генеративной политики как одного из перспективных механизмов оптимизации проектных решений показывает его значительный потенциал в улучшении процессов разработки и проектирования программного обеспечения. </w:t>
      </w:r>
    </w:p>
    <w:p w14:paraId="4B106C6E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C9E3D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Список литературы</w:t>
      </w:r>
    </w:p>
    <w:p w14:paraId="74EF61A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sz w:val="20"/>
          <w:szCs w:val="20"/>
        </w:rPr>
        <w:t>[1] Борисов, И. А. Генеративные методы в проектном управлении / А. И. Борисов // Управление проектами. – 2020. – № 12(3). – С. 45-59.</w:t>
      </w:r>
    </w:p>
    <w:p w14:paraId="1E8309AF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[2] Smith, J. Machine Learning Applications for Generative Decision-Making / J. Smith, T. Johnson // Journal of Business Intelligence. – 2021. – № 15(2). – 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>РР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>. 88-99.</w:t>
      </w:r>
    </w:p>
    <w:p w14:paraId="24173E57" w14:textId="77777777" w:rsidR="00061897" w:rsidRPr="00D93D75" w:rsidRDefault="000618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ABF5930" w14:textId="77777777" w:rsidR="00061897" w:rsidRPr="00D93D75" w:rsidRDefault="00BE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Авторский вклад</w:t>
      </w:r>
    </w:p>
    <w:p w14:paraId="09CD4827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>Алексеев Виктор Федорович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 – постановка задачи исследования, разработка методологии оценки эффективности генеративной политики при оптимизации проектных решений, руководство исследованием по оценке эффективности генеративной политики при оптимизации возможных проектных решений.</w:t>
      </w:r>
    </w:p>
    <w:p w14:paraId="2355BF1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</w:rPr>
        <w:t>Лихаческий Дмитрий Викторович</w:t>
      </w:r>
      <w:r w:rsidRPr="00D93D75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bookmarkStart w:id="3" w:name="_Hlk192766794"/>
      <w:r w:rsidRPr="00D93D75">
        <w:rPr>
          <w:rFonts w:ascii="Times New Roman" w:eastAsia="Times New Roman" w:hAnsi="Times New Roman" w:cs="Times New Roman"/>
          <w:sz w:val="20"/>
          <w:szCs w:val="20"/>
        </w:rPr>
        <w:t>постановка задачи исследования</w:t>
      </w:r>
      <w:bookmarkEnd w:id="3"/>
      <w:r w:rsidRPr="00D93D75">
        <w:rPr>
          <w:rFonts w:ascii="Times New Roman" w:eastAsia="Times New Roman" w:hAnsi="Times New Roman" w:cs="Times New Roman"/>
          <w:sz w:val="20"/>
          <w:szCs w:val="20"/>
        </w:rPr>
        <w:t>, сравнение генеративной политики с другими подходами к оптимизации проектных решений, разработка направлений для дальнейших исследований в области оптимизации методов генеративного проектирования.</w:t>
      </w:r>
    </w:p>
    <w:p w14:paraId="2B915ED4" w14:textId="77777777" w:rsidR="00061897" w:rsidRPr="00D93D75" w:rsidRDefault="00061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FB3B3" w14:textId="77777777" w:rsidR="00061897" w:rsidRPr="00D93D75" w:rsidRDefault="00BE281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</w:pP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t>Evaluation of the effectiveness of generative policy</w:t>
      </w:r>
      <w:r w:rsidRPr="00D93D75">
        <w:rPr>
          <w:rFonts w:ascii="Times New Roman" w:eastAsia="Times New Roman" w:hAnsi="Times New Roman" w:cs="Times New Roman"/>
          <w:b/>
          <w:bCs/>
          <w:caps/>
          <w:kern w:val="32"/>
          <w:sz w:val="26"/>
          <w:szCs w:val="32"/>
          <w:lang w:val="en-US"/>
        </w:rPr>
        <w:br/>
        <w:t>in optimizing design decisions</w:t>
      </w:r>
    </w:p>
    <w:p w14:paraId="40CD94D9" w14:textId="77777777" w:rsidR="00061897" w:rsidRPr="00D93D75" w:rsidRDefault="000618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</w:p>
    <w:tbl>
      <w:tblPr>
        <w:tblStyle w:val="12"/>
        <w:tblW w:w="8868" w:type="dxa"/>
        <w:jc w:val="center"/>
        <w:tblLayout w:type="fixed"/>
        <w:tblLook w:val="04A0" w:firstRow="1" w:lastRow="0" w:firstColumn="1" w:lastColumn="0" w:noHBand="0" w:noVBand="1"/>
      </w:tblPr>
      <w:tblGrid>
        <w:gridCol w:w="4962"/>
        <w:gridCol w:w="3906"/>
      </w:tblGrid>
      <w:tr w:rsidR="00061897" w:rsidRPr="00B47319" w14:paraId="69EA7C82" w14:textId="77777777" w:rsidTr="00C64182">
        <w:trPr>
          <w:jc w:val="center"/>
        </w:trPr>
        <w:tc>
          <w:tcPr>
            <w:tcW w:w="49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412DD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V.F. Alekseev</w:t>
            </w:r>
          </w:p>
          <w:p w14:paraId="47E48472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Professor, Department of Information Computer Systems Design,</w:t>
            </w:r>
            <w:r w:rsidR="00C64182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C64182" w:rsidRPr="00D93D75">
              <w:rPr>
                <w:rFonts w:ascii="Times New Roman" w:eastAsia="Times New Roman" w:hAnsi="Times New Roman" w:cs="Times New Roman"/>
                <w:i/>
                <w:shd w:val="clear" w:color="auto" w:fill="FFFF00"/>
                <w:lang w:val="en-US" w:eastAsia="ru-RU"/>
              </w:rPr>
              <w:t>BSUIR,</w:t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PhD of Technical sciences, Associate Professor</w:t>
            </w:r>
          </w:p>
        </w:tc>
        <w:tc>
          <w:tcPr>
            <w:tcW w:w="3906" w:type="dxa"/>
          </w:tcPr>
          <w:p w14:paraId="24B9F34A" w14:textId="77777777" w:rsidR="00061897" w:rsidRPr="00D93D75" w:rsidRDefault="00BE281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D.V. </w:t>
            </w:r>
            <w:proofErr w:type="spellStart"/>
            <w:r w:rsidRPr="00D93D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Likhachevsky</w:t>
            </w:r>
            <w:proofErr w:type="spellEnd"/>
          </w:p>
          <w:p w14:paraId="0CB72A9D" w14:textId="255D5EF1" w:rsidR="00061897" w:rsidRPr="00D93D75" w:rsidRDefault="00BE2811" w:rsidP="00953A1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Dean of the Faculty of Computer Design</w:t>
            </w:r>
            <w:r w:rsidR="00953A1C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,</w:t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BSUIR, PhD of Technical Sciences, </w:t>
            </w:r>
            <w:r w:rsidR="00953A1C"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br/>
            </w:r>
            <w:r w:rsidRPr="00D93D7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Associate Professor</w:t>
            </w:r>
          </w:p>
        </w:tc>
      </w:tr>
    </w:tbl>
    <w:p w14:paraId="63B77F43" w14:textId="77777777" w:rsidR="00061897" w:rsidRPr="00D93D75" w:rsidRDefault="00061897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9A06BC" w14:textId="77777777" w:rsidR="00061897" w:rsidRPr="00D93D75" w:rsidRDefault="00BE2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D93D7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Abstract.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 article discusses the use of generative policy as an effective tool for optimizing design decisions in various fields of activity. </w:t>
      </w:r>
    </w:p>
    <w:p w14:paraId="02EB6E49" w14:textId="1BD63961" w:rsidR="00061897" w:rsidRPr="00D93D75" w:rsidRDefault="00BE2811" w:rsidP="00EB5D69">
      <w:pPr>
        <w:spacing w:after="0" w:line="240" w:lineRule="auto"/>
        <w:ind w:firstLine="567"/>
        <w:jc w:val="both"/>
        <w:rPr>
          <w:lang w:val="en-US"/>
        </w:rPr>
      </w:pPr>
      <w:r w:rsidRPr="00D93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Keywords</w:t>
      </w:r>
      <w:r w:rsidRPr="00D93D75">
        <w:rPr>
          <w:rFonts w:ascii="Times New Roman" w:eastAsia="Times New Roman" w:hAnsi="Times New Roman" w:cs="Times New Roman"/>
          <w:sz w:val="20"/>
          <w:szCs w:val="20"/>
          <w:lang w:val="en-US"/>
        </w:rPr>
        <w:t>: generative policy, algorithmic solutions, design decision optimization, machine learning, artificial intelligence, key performance indicators.</w:t>
      </w:r>
    </w:p>
    <w:sectPr w:rsidR="00061897" w:rsidRPr="00D93D75" w:rsidSect="008D76C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530" w14:textId="77777777" w:rsidR="0086486D" w:rsidRDefault="0086486D">
      <w:pPr>
        <w:spacing w:line="240" w:lineRule="auto"/>
      </w:pPr>
      <w:r>
        <w:separator/>
      </w:r>
    </w:p>
  </w:endnote>
  <w:endnote w:type="continuationSeparator" w:id="0">
    <w:p w14:paraId="1205CF11" w14:textId="77777777" w:rsidR="0086486D" w:rsidRDefault="00864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Droid Sans Fallback">
    <w:charset w:val="01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36F2" w14:textId="77777777" w:rsidR="0086486D" w:rsidRDefault="0086486D">
      <w:pPr>
        <w:spacing w:after="0"/>
      </w:pPr>
      <w:r>
        <w:separator/>
      </w:r>
    </w:p>
  </w:footnote>
  <w:footnote w:type="continuationSeparator" w:id="0">
    <w:p w14:paraId="0DF71142" w14:textId="77777777" w:rsidR="0086486D" w:rsidRDefault="00864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5E6"/>
    <w:multiLevelType w:val="multilevel"/>
    <w:tmpl w:val="04D345E6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-5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</w:abstractNum>
  <w:abstractNum w:abstractNumId="1" w15:restartNumberingAfterBreak="0">
    <w:nsid w:val="1A002771"/>
    <w:multiLevelType w:val="multilevel"/>
    <w:tmpl w:val="C7E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C755C"/>
    <w:multiLevelType w:val="multilevel"/>
    <w:tmpl w:val="250C755C"/>
    <w:lvl w:ilvl="0">
      <w:numFmt w:val="bullet"/>
      <w:lvlText w:val="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4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9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460161BB"/>
    <w:multiLevelType w:val="multilevel"/>
    <w:tmpl w:val="460161BB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53034633">
    <w:abstractNumId w:val="2"/>
  </w:num>
  <w:num w:numId="2" w16cid:durableId="1869643086">
    <w:abstractNumId w:val="0"/>
  </w:num>
  <w:num w:numId="3" w16cid:durableId="1508593441">
    <w:abstractNumId w:val="3"/>
  </w:num>
  <w:num w:numId="4" w16cid:durableId="59436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34"/>
    <w:rsid w:val="000267B5"/>
    <w:rsid w:val="0003193B"/>
    <w:rsid w:val="00032EC9"/>
    <w:rsid w:val="00043833"/>
    <w:rsid w:val="00061897"/>
    <w:rsid w:val="00065534"/>
    <w:rsid w:val="0007175A"/>
    <w:rsid w:val="000E0A88"/>
    <w:rsid w:val="001244FF"/>
    <w:rsid w:val="001501C8"/>
    <w:rsid w:val="00153EF8"/>
    <w:rsid w:val="0018529C"/>
    <w:rsid w:val="001A6D09"/>
    <w:rsid w:val="001E06F4"/>
    <w:rsid w:val="001E506E"/>
    <w:rsid w:val="002574F8"/>
    <w:rsid w:val="0027610A"/>
    <w:rsid w:val="002A721A"/>
    <w:rsid w:val="002B6F18"/>
    <w:rsid w:val="002D0AD9"/>
    <w:rsid w:val="002E5CFE"/>
    <w:rsid w:val="00361FE5"/>
    <w:rsid w:val="0038665F"/>
    <w:rsid w:val="003A4859"/>
    <w:rsid w:val="003A7C02"/>
    <w:rsid w:val="004437C5"/>
    <w:rsid w:val="00445EB1"/>
    <w:rsid w:val="004719D6"/>
    <w:rsid w:val="00496577"/>
    <w:rsid w:val="0049780E"/>
    <w:rsid w:val="004A18DF"/>
    <w:rsid w:val="004B0DC8"/>
    <w:rsid w:val="004C56F5"/>
    <w:rsid w:val="004C7266"/>
    <w:rsid w:val="004E4412"/>
    <w:rsid w:val="004F39B4"/>
    <w:rsid w:val="00526E91"/>
    <w:rsid w:val="00531FE9"/>
    <w:rsid w:val="0054492B"/>
    <w:rsid w:val="005702D9"/>
    <w:rsid w:val="00573743"/>
    <w:rsid w:val="005820EC"/>
    <w:rsid w:val="0058654C"/>
    <w:rsid w:val="00593C20"/>
    <w:rsid w:val="00596793"/>
    <w:rsid w:val="005E7B6D"/>
    <w:rsid w:val="00626EF1"/>
    <w:rsid w:val="00634487"/>
    <w:rsid w:val="0063546E"/>
    <w:rsid w:val="00681C1D"/>
    <w:rsid w:val="006A7B4B"/>
    <w:rsid w:val="006B57B2"/>
    <w:rsid w:val="006C005F"/>
    <w:rsid w:val="006F4A09"/>
    <w:rsid w:val="006F4E65"/>
    <w:rsid w:val="0075339B"/>
    <w:rsid w:val="00753C5F"/>
    <w:rsid w:val="00756FEA"/>
    <w:rsid w:val="00757F04"/>
    <w:rsid w:val="007635C5"/>
    <w:rsid w:val="00791C5C"/>
    <w:rsid w:val="007B09C2"/>
    <w:rsid w:val="008406C0"/>
    <w:rsid w:val="008573A1"/>
    <w:rsid w:val="0086486D"/>
    <w:rsid w:val="008D76C4"/>
    <w:rsid w:val="008F1AC6"/>
    <w:rsid w:val="0090281B"/>
    <w:rsid w:val="00912509"/>
    <w:rsid w:val="00953A1C"/>
    <w:rsid w:val="009A3E0E"/>
    <w:rsid w:val="009F2C0A"/>
    <w:rsid w:val="00A3064B"/>
    <w:rsid w:val="00A51E01"/>
    <w:rsid w:val="00AA6873"/>
    <w:rsid w:val="00AB294E"/>
    <w:rsid w:val="00AC1991"/>
    <w:rsid w:val="00B06471"/>
    <w:rsid w:val="00B224D6"/>
    <w:rsid w:val="00B27FC6"/>
    <w:rsid w:val="00B47319"/>
    <w:rsid w:val="00B502C2"/>
    <w:rsid w:val="00B60E4F"/>
    <w:rsid w:val="00B95CD0"/>
    <w:rsid w:val="00BB3697"/>
    <w:rsid w:val="00BB73B7"/>
    <w:rsid w:val="00BC6228"/>
    <w:rsid w:val="00BD2B40"/>
    <w:rsid w:val="00BE2811"/>
    <w:rsid w:val="00BE5EDD"/>
    <w:rsid w:val="00BF6A52"/>
    <w:rsid w:val="00C02D69"/>
    <w:rsid w:val="00C22FC9"/>
    <w:rsid w:val="00C26048"/>
    <w:rsid w:val="00C313CD"/>
    <w:rsid w:val="00C62A2A"/>
    <w:rsid w:val="00C64182"/>
    <w:rsid w:val="00C74C13"/>
    <w:rsid w:val="00CA5766"/>
    <w:rsid w:val="00CB16F6"/>
    <w:rsid w:val="00CF32D3"/>
    <w:rsid w:val="00D3360C"/>
    <w:rsid w:val="00D93D75"/>
    <w:rsid w:val="00DD554B"/>
    <w:rsid w:val="00E20339"/>
    <w:rsid w:val="00E9049B"/>
    <w:rsid w:val="00EB008A"/>
    <w:rsid w:val="00EB2DDB"/>
    <w:rsid w:val="00EB5D69"/>
    <w:rsid w:val="00EC0D4F"/>
    <w:rsid w:val="00EC36F1"/>
    <w:rsid w:val="00ED0269"/>
    <w:rsid w:val="00F03A1C"/>
    <w:rsid w:val="00F23079"/>
    <w:rsid w:val="00F3028C"/>
    <w:rsid w:val="00F54EEA"/>
    <w:rsid w:val="00F5703E"/>
    <w:rsid w:val="00F667B0"/>
    <w:rsid w:val="00FD5993"/>
    <w:rsid w:val="00FE4F37"/>
    <w:rsid w:val="00FE732B"/>
    <w:rsid w:val="181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9125C02"/>
  <w15:docId w15:val="{0BEE75C1-EA0C-4E12-91B4-03F4DAC8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widowControl w:val="0"/>
      <w:autoSpaceDE w:val="0"/>
      <w:autoSpaceDN w:val="0"/>
      <w:spacing w:after="0" w:line="240" w:lineRule="auto"/>
      <w:ind w:left="173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Body Text"/>
    <w:basedOn w:val="a"/>
    <w:link w:val="ac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pPr>
      <w:widowControl w:val="0"/>
      <w:autoSpaceDE w:val="0"/>
      <w:autoSpaceDN w:val="0"/>
      <w:spacing w:after="0" w:line="240" w:lineRule="auto"/>
      <w:ind w:left="1320" w:hanging="359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word-wrapper">
    <w:name w:val="word-wrapper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21">
    <w:name w:val="Основной текст 21"/>
    <w:basedOn w:val="a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table" w:customStyle="1" w:styleId="12">
    <w:name w:val="1"/>
    <w:basedOn w:val="a1"/>
    <w:qFormat/>
    <w:rPr>
      <w:rFonts w:ascii="Calibri" w:eastAsia="Calibri" w:hAnsi="Calibri" w:cs="Calibri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Сетка таблицы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286pc">
    <w:name w:val="t286pc"/>
    <w:basedOn w:val="a0"/>
    <w:rsid w:val="004B0DC8"/>
  </w:style>
  <w:style w:type="character" w:styleId="af0">
    <w:name w:val="Strong"/>
    <w:basedOn w:val="a0"/>
    <w:uiPriority w:val="22"/>
    <w:qFormat/>
    <w:rsid w:val="004B0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9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khachevskyd@bsuir.b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xvikt.minsk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9FBDA8-0849-4DDF-91B6-C0E888E0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Объединенный институт проблем информатики  Национальной академии наук Беларуси, </vt:lpstr>
      <vt:lpstr>    МИРЭА – Российский технологический университет, Российская Федерация</vt:lpstr>
      <vt:lpstr>    </vt:lpstr>
      <vt:lpstr>    Северо-Кавказский федеральный университет, Российская Федерация</vt:lpstr>
      <vt:lpstr>    </vt:lpstr>
      <vt:lpstr>    Евразийский национальный университет имени Л. Н. Гумилева, Республика Казахстан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/</vt:lpstr>
      <vt:lpstr>    Уважаемые коллеги!</vt:lpstr>
      <vt:lpstr>    </vt:lpstr>
      <vt:lpstr>    Научные направления:</vt:lpstr>
      <vt:lpstr>    Целевая аудитория конференции:</vt:lpstr>
      <vt:lpstr>    Форматы участия в конференции:</vt:lpstr>
      <vt:lpstr>    Регламент проведения конференции:</vt:lpstr>
      <vt:lpstr>    </vt:lpstr>
      <vt:lpstr>    Условия участия</vt:lpstr>
      <vt:lpstr>    Для включения материалов в рецензируемый сборник научных трудов с присвоением IS</vt:lpstr>
      <vt:lpstr>    материалы, оформленные в соответствии с требованиями (см. приложение 1);</vt:lpstr>
      <vt:lpstr>    скриншот о результатах проверки в системе «Антиплагиат» (процент уникальности те</vt:lpstr>
      <vt:lpstr>    экспертное заключение о возможности открытого опубликования материалов в печати </vt:lpstr>
      <vt:lpstr>    согласие на обработку персональных данных (включение материалов докладов XII Меж</vt:lpstr>
      <vt:lpstr>    согласие на обработку персональных данных и размещение на сайте https://bigdatam</vt:lpstr>
      <vt:lpstr>    </vt:lpstr>
      <vt:lpstr>    Программный комитет оставляет за собой право проводить проверку и отклонять мате</vt:lpstr>
      <vt:lpstr>    </vt:lpstr>
      <vt:lpstr>    Материалы участников, прошедшие рецензирование и рекомендованные программным ком</vt:lpstr>
      <vt:lpstr>    Для публикации статьи в сборнике принимается не более двух работ от одного автор</vt:lpstr>
      <vt:lpstr>    Где можно ознакомиться и скачать материалы конференции?</vt:lpstr>
      <vt:lpstr>    Информационное письмо, материалы конференции (сборник трудов) и программа конфер</vt:lpstr>
      <vt:lpstr>    Как подключиться дистанционно?</vt:lpstr>
      <vt:lpstr>    Для подключения к конференции в Zoom необходимо пройти по следующей ссылке:</vt:lpstr>
      <vt:lpstr>    Организационный комитет конференции</vt:lpstr>
      <vt:lpstr>    Богуш В.А. – председатель организационного комитета, ректор учреждения образован</vt:lpstr>
      <vt:lpstr>    Батура М.П. – научный руководитель НИЛ 6.3 учреждения образования «Белорусский г</vt:lpstr>
      <vt:lpstr>    Давыдов М.В. – первый проректор учреждения образования «Белорусский государствен</vt:lpstr>
      <vt:lpstr>    Дик С.К. – заведующий кафедрой инженерной и компьютерной графики учреждения обра</vt:lpstr>
      <vt:lpstr>    Исмаилова А.А. – и.о. профессора кафедры информационных систем, НАО «Казахский а</vt:lpstr>
      <vt:lpstr>    Казак Т.В. – заведующий кафедрой инженерной психологии и эргономики учреждения о</vt:lpstr>
      <vt:lpstr>    Касанин С. Н. – заместитель генерального директора по научной и инновационной ра</vt:lpstr>
      <vt:lpstr>    Косари А. – доцент кафедры электротехники и информационных технологий, Иранская </vt:lpstr>
      <vt:lpstr>    Кругликов С.В. – главный научный сотрудник государственного научного учреждения </vt:lpstr>
      <vt:lpstr>    Кудж С.А. – ректор ФГБОУ ВО «МИРЭА – Российский технологический университет»,  д</vt:lpstr>
      <vt:lpstr>    Лихачевский Д.В. – заместитель начальника государственного учреждения «Секретари</vt:lpstr>
      <vt:lpstr>    Мезилов Г.А. – ректор Университета инженерных технологий Туркменистана имени Огу</vt:lpstr>
      <vt:lpstr>    Пархименко В.А. – заведующий кафедрой экономики учреждения образования «Белорусс</vt:lpstr>
      <vt:lpstr>    Петренко В.И. – заведующий кафедрой организации и технологии защиты информации Ф</vt:lpstr>
      <vt:lpstr>    Пискун Г.А. – заместитель декана факультета компьютерного проектирования учрежде</vt:lpstr>
      <vt:lpstr>    Рябова А.Н. – начальник государственного учреждения «Секретариат Наблюдательного</vt:lpstr>
      <vt:lpstr>    Стемпицкий В.Р. – проректор по научной работе учреждения образования «Белорусски</vt:lpstr>
      <vt:lpstr>    Тебуева Ф.Б. – профессор кафедры прикладной математики и кибернетики ФГАОУ ВО «С</vt:lpstr>
      <vt:lpstr>    Тузиков А.В. – заведующий лабораторией математической кибернетики государственно</vt:lpstr>
      <vt:lpstr>    Тусупов Д.А. – заведующий кафедрой информационных систем Евразийского национальн</vt:lpstr>
      <vt:lpstr>    Ульянов Н.И. – декан факультета компьютерных систем и сетей учреждения образован</vt:lpstr>
      <vt:lpstr>    Целых А.А. – заместитель директора Института компьютерных технологий и информаци</vt:lpstr>
      <vt:lpstr>    Шнейдеров Е.Н. – проректор по учебной работе учреждения образования «Белорусский</vt:lpstr>
      <vt:lpstr>    Контактная информация</vt:lpstr>
      <vt:lpstr>    Технический секретарь конференции: инженер кафедры инженерной психологии и эргон</vt:lpstr>
      <vt:lpstr>    Приложение 1</vt:lpstr>
      <vt:lpstr>    Требования к оформлению статьи</vt:lpstr>
      <vt:lpstr/>
      <vt:lpstr>Оценка эффективности генеративной политики при оптимизации проектных решений</vt:lpstr>
      <vt:lpstr/>
      <vt:lpstr>Evaluation of the effectiveness of generative policy in optimizing design decisi</vt:lpstr>
      <vt:lpstr>    Приложение 2</vt:lpstr>
      <vt:lpstr>    </vt:lpstr>
      <vt:lpstr>    ЭКСПЕРТНОЕ ЗАКЛЮЧЕНИЕ</vt:lpstr>
      <vt:lpstr>    о возможности опубликования материалов в печати</vt:lpstr>
      <vt:lpstr>    и других средствах массовой информации</vt:lpstr>
      <vt:lpstr>    </vt:lpstr>
      <vt:lpstr>    Я (мы), должность, организация, настоящим сообщаю(ем), что при подготовке статьи</vt:lpstr>
      <vt:lpstr>    1) использовались (не использовались) литературные источники и документы, имеющи</vt:lpstr>
      <vt:lpstr>    2) представленные материалы не содержат сведения, составляющие государственные с</vt:lpstr>
      <vt:lpstr>    3) возможно опубликование в открытой печати и средствах массовой информации;</vt:lpstr>
      <vt:lpstr>    4) работа выполнена на основе (х/д, г/б, №), имеется (не имеется) разрешение на </vt:lpstr>
      <vt:lpstr>    Материал обсужден на (заседании кафедры, учебно-методическом совете или др.), пр</vt:lpstr>
      <vt:lpstr>    </vt:lpstr>
      <vt:lpstr>    дата 	подписи и ФИО всех авторов </vt:lpstr>
      <vt:lpstr>    </vt:lpstr>
      <vt:lpstr>    подпись заведующего кафедрой (или иного рекомендующего органа) </vt:lpstr>
      <vt:lpstr>    </vt:lpstr>
      <vt:lpstr>    печать организации (при наличии)</vt:lpstr>
      <vt:lpstr>    </vt:lpstr>
      <vt:lpstr>    Приложение 3</vt:lpstr>
      <vt:lpstr>    </vt:lpstr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АЛЕКСЕЕВ Виктор Федорович</cp:lastModifiedBy>
  <cp:revision>4</cp:revision>
  <cp:lastPrinted>2026-02-16T16:30:00Z</cp:lastPrinted>
  <dcterms:created xsi:type="dcterms:W3CDTF">2026-03-10T08:31:00Z</dcterms:created>
  <dcterms:modified xsi:type="dcterms:W3CDTF">2026-03-10T08:34:00Z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7CEE00D6A7F940D4915A350AACB45DF0_13</vt:lpwstr>
  </property>
</Properties>
</file>