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1206CD" w14:paraId="1E8FC505" w14:textId="77777777" w:rsidTr="00E86DFC">
        <w:tc>
          <w:tcPr>
            <w:tcW w:w="903" w:type="pct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6737C0F3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120AE8" w:rsidRPr="00120AE8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ПРОЕКТИРОВАНИЕ ИНТЕГРИРОВАННЫХ</w:t>
      </w:r>
      <w:r w:rsidR="0083747B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br/>
      </w:r>
      <w:r w:rsidR="00120AE8" w:rsidRPr="00120AE8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ИНФОРМАЦИОННЫХ СИСТЕМ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64CF249D" w14:textId="20ADFAD2" w:rsidR="00BE5F93" w:rsidRPr="001206CD" w:rsidRDefault="00653F0C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327E5B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327E5B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9BC8E32" w14:textId="72D8EAFB" w:rsidR="00085778" w:rsidRPr="001206CD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83747B" w:rsidRPr="0083747B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7-06-0713-02 Электронные системы и технологии</w:t>
      </w:r>
    </w:p>
    <w:p w14:paraId="51A81B55" w14:textId="35E0F74E" w:rsidR="00C71B49" w:rsidRPr="001206CD" w:rsidRDefault="00470806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83747B">
        <w:rPr>
          <w:rFonts w:ascii="Bookman Old Style" w:hAnsi="Bookman Old Style"/>
          <w:b/>
          <w:color w:val="008000"/>
          <w:sz w:val="28"/>
          <w:szCs w:val="28"/>
        </w:rPr>
        <w:t>а</w:t>
      </w:r>
      <w:r w:rsidR="00653F0C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83747B">
        <w:rPr>
          <w:rFonts w:ascii="Bookman Old Style" w:hAnsi="Bookman Old Style"/>
          <w:b/>
          <w:color w:val="008000"/>
          <w:sz w:val="28"/>
          <w:szCs w:val="28"/>
        </w:rPr>
        <w:t>515441</w:t>
      </w:r>
      <w:r w:rsidR="00C71B49"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8DFB771" w14:textId="376F43F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Цели и задачи изучения курса. Краткий обзор курса. Его роль в модели специалиста.</w:t>
      </w:r>
    </w:p>
    <w:p w14:paraId="0A8A5A98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Интеграционное решение как важнейший компонент стратегии развития бизнеса. </w:t>
      </w:r>
    </w:p>
    <w:p w14:paraId="1E7E19A7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Основные понятия методологии интегрированных информационных систем. Особенности современных интегрированных информационных систем. </w:t>
      </w:r>
    </w:p>
    <w:p w14:paraId="40184C26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Общие принципы построения и функционирования. Состав и структура. </w:t>
      </w:r>
    </w:p>
    <w:p w14:paraId="6D9AC0D4" w14:textId="0E67D30D" w:rsidR="00C40C96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Классификация интегрированных информационных систем.</w:t>
      </w:r>
    </w:p>
    <w:p w14:paraId="2A1B0673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Эволюция подходов к интеграции информационных систем. </w:t>
      </w:r>
    </w:p>
    <w:p w14:paraId="6651F30A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Методология открытых систем и проблема интеграции. </w:t>
      </w:r>
    </w:p>
    <w:p w14:paraId="7F52E013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интеграции. Типы интеграционных задач. </w:t>
      </w:r>
    </w:p>
    <w:p w14:paraId="0F9A8815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Проблемы интеграции. Типы интеграционных решений. </w:t>
      </w:r>
    </w:p>
    <w:p w14:paraId="185B1F45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Спецификация требований к интеграции приложений. </w:t>
      </w:r>
    </w:p>
    <w:p w14:paraId="627B0FAA" w14:textId="36633E55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Критерии выбора интеграционного решения.</w:t>
      </w:r>
    </w:p>
    <w:p w14:paraId="643401A0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Понятие промежуточной среды. </w:t>
      </w:r>
    </w:p>
    <w:p w14:paraId="3FA44355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Модели взаимодействия приложений. </w:t>
      </w:r>
    </w:p>
    <w:p w14:paraId="7BB42BAA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Стандарты объектно-ориентированного взаимодействия. </w:t>
      </w:r>
    </w:p>
    <w:p w14:paraId="6847DC40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языка XML как формата обмена данными. </w:t>
      </w:r>
    </w:p>
    <w:p w14:paraId="2614E8EA" w14:textId="49FC1F41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Технологии, базирующиеся на XML.</w:t>
      </w:r>
    </w:p>
    <w:p w14:paraId="59ACA354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Проблемы взаимодействия пользователей интегрированных информационных систем. </w:t>
      </w:r>
    </w:p>
    <w:p w14:paraId="33768442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Основные подходы к интеграции: передача файлов, использование общей базы данных, удаленный вызов процедур, обмен сообщениями. </w:t>
      </w:r>
    </w:p>
    <w:p w14:paraId="348BA148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Подход, основанный на использовании шаблонов. </w:t>
      </w:r>
    </w:p>
    <w:p w14:paraId="6A969286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Функциональная интеграция. </w:t>
      </w:r>
    </w:p>
    <w:p w14:paraId="242B386F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Интеграция на уровне пользовательского интерфейса. </w:t>
      </w:r>
    </w:p>
    <w:p w14:paraId="0B383207" w14:textId="2D800ACD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Топология интеграционных решений.</w:t>
      </w:r>
    </w:p>
    <w:p w14:paraId="6A306FAC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Роль интеграционных шаблонов проектирования. </w:t>
      </w:r>
    </w:p>
    <w:p w14:paraId="2834794F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Базовые шаблоны интеграции, их преимущества и недостатки. </w:t>
      </w:r>
    </w:p>
    <w:p w14:paraId="2D916C8E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Уровни интеграции корпоративных приложений. </w:t>
      </w:r>
    </w:p>
    <w:p w14:paraId="3D1F9801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Принципы и правила выбора шаблонов. </w:t>
      </w:r>
    </w:p>
    <w:p w14:paraId="155B39FF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Шаблоны архитектур промежуточного слоя. </w:t>
      </w:r>
    </w:p>
    <w:p w14:paraId="32E0D9C2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Интеграция данных. </w:t>
      </w:r>
    </w:p>
    <w:p w14:paraId="5AE0BD64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Интеграция приложений</w:t>
      </w:r>
      <w:r w:rsidRPr="008A11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6F899E" w14:textId="08525DAF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Интеграция бизнес-процессов.</w:t>
      </w:r>
    </w:p>
    <w:p w14:paraId="62529F5D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Понятие и структура сообщений. </w:t>
      </w:r>
    </w:p>
    <w:p w14:paraId="44BD7C58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Система обмена сообщениями. </w:t>
      </w:r>
    </w:p>
    <w:p w14:paraId="31AE3EDB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Основные элементы интеграционного решения, основанного на обмене сообщениями. </w:t>
      </w:r>
    </w:p>
    <w:p w14:paraId="0673F1C8" w14:textId="345811C3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Преимущества и недостатки технологии обмена сообщениями.</w:t>
      </w:r>
    </w:p>
    <w:p w14:paraId="287375B2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Основные вопросы, связанные с применением каналов обмена сообщениями. </w:t>
      </w:r>
    </w:p>
    <w:p w14:paraId="1F0C0CB2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Канал «точка-точка», канал «публикация-подписка», канал типа данных, канал недопустимых сообщений, канал недоставленных сообщений. </w:t>
      </w:r>
    </w:p>
    <w:p w14:paraId="0D165E8B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Концепции гарантированной доставки. </w:t>
      </w:r>
    </w:p>
    <w:p w14:paraId="290F3C2B" w14:textId="2C4FD11F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Адаптер канала. Мост обмена сообщениями. Шина сообщений.</w:t>
      </w:r>
    </w:p>
    <w:p w14:paraId="5BDBC114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Шаблоны маршрутизации в интеграционных решениях. </w:t>
      </w:r>
    </w:p>
    <w:p w14:paraId="25A8C023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Простые, составные маршрутизаторы: назначение, особенности применения. </w:t>
      </w:r>
    </w:p>
    <w:p w14:paraId="06AEDAD5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Архитектурные шаблоны. </w:t>
      </w:r>
    </w:p>
    <w:p w14:paraId="488409C9" w14:textId="55DFD302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Выбор маршрутизатора сообщений.</w:t>
      </w:r>
    </w:p>
    <w:p w14:paraId="15B6375F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Конечные точки обмена сообщениями. </w:t>
      </w:r>
    </w:p>
    <w:p w14:paraId="119A2122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Шаблоны отправки и получения сообщений. </w:t>
      </w:r>
    </w:p>
    <w:p w14:paraId="52316726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Шаблоны потребителей сообщений. </w:t>
      </w:r>
    </w:p>
    <w:p w14:paraId="0C784325" w14:textId="60F5D676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Особенности реализации конечных точек.</w:t>
      </w:r>
    </w:p>
    <w:p w14:paraId="0EDCCCA6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Преобразование сообщений. </w:t>
      </w:r>
    </w:p>
    <w:p w14:paraId="6D2E223D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Типы шаблонов преобразования, их характеристика и примеры.</w:t>
      </w:r>
    </w:p>
    <w:p w14:paraId="19D330D5" w14:textId="77777777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 xml:space="preserve">Способы преобразования. </w:t>
      </w:r>
    </w:p>
    <w:p w14:paraId="66934F9B" w14:textId="623802E0" w:rsidR="00B03CD1" w:rsidRPr="008A1168" w:rsidRDefault="00B03CD1" w:rsidP="008A1168">
      <w:pPr>
        <w:pStyle w:val="a5"/>
        <w:numPr>
          <w:ilvl w:val="0"/>
          <w:numId w:val="13"/>
        </w:numPr>
        <w:tabs>
          <w:tab w:val="left" w:pos="-4536"/>
          <w:tab w:val="left" w:pos="-411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168">
        <w:rPr>
          <w:rFonts w:ascii="Times New Roman" w:eastAsia="Times New Roman" w:hAnsi="Times New Roman" w:cs="Times New Roman"/>
          <w:sz w:val="28"/>
          <w:szCs w:val="28"/>
        </w:rPr>
        <w:t>Проблематика построения сообщений и их решение с помощью шаблонов построения сообщений.</w:t>
      </w:r>
    </w:p>
    <w:p w14:paraId="7F5C89DE" w14:textId="22216DE8" w:rsidR="00683DFA" w:rsidRPr="001206CD" w:rsidRDefault="00683DFA" w:rsidP="008A1168">
      <w:pPr>
        <w:widowControl w:val="0"/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63046213" w14:textId="050FEE54" w:rsidR="00B03CD1" w:rsidRPr="00B03CD1" w:rsidRDefault="00B03CD1" w:rsidP="008A1168">
      <w:pPr>
        <w:pStyle w:val="a5"/>
        <w:widowControl w:val="0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Гончаренко, А.Н. Интегрированные информационные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учеб. пособие / А.Н. Гончаренко.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Изд. Дом НИТУ «МИСиС», 2018. –</w:t>
      </w:r>
      <w:r w:rsidR="009A7EEA">
        <w:rPr>
          <w:rFonts w:ascii="Times New Roman" w:hAnsi="Times New Roman" w:cs="Times New Roman"/>
          <w:sz w:val="28"/>
          <w:szCs w:val="28"/>
        </w:rPr>
        <w:t xml:space="preserve"> </w:t>
      </w:r>
      <w:r w:rsidRPr="00B03CD1">
        <w:rPr>
          <w:rFonts w:ascii="Times New Roman" w:hAnsi="Times New Roman" w:cs="Times New Roman"/>
          <w:sz w:val="28"/>
          <w:szCs w:val="28"/>
        </w:rPr>
        <w:lastRenderedPageBreak/>
        <w:t>74</w:t>
      </w:r>
      <w:r w:rsidR="009A7EEA">
        <w:rPr>
          <w:rFonts w:ascii="Times New Roman" w:hAnsi="Times New Roman" w:cs="Times New Roman"/>
          <w:sz w:val="28"/>
          <w:szCs w:val="28"/>
        </w:rPr>
        <w:t> </w:t>
      </w:r>
      <w:r w:rsidRPr="00B03CD1">
        <w:rPr>
          <w:rFonts w:ascii="Times New Roman" w:hAnsi="Times New Roman" w:cs="Times New Roman"/>
          <w:sz w:val="28"/>
          <w:szCs w:val="28"/>
        </w:rPr>
        <w:t>с.</w:t>
      </w:r>
    </w:p>
    <w:p w14:paraId="3A33500A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Зыков, С.В. Основы проектирования корпоративных систем / С.В.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Зыков ;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Нац. </w:t>
      </w:r>
      <w:proofErr w:type="spellStart"/>
      <w:r w:rsidRPr="00B03CD1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B03CD1">
        <w:rPr>
          <w:rFonts w:ascii="Times New Roman" w:hAnsi="Times New Roman" w:cs="Times New Roman"/>
          <w:sz w:val="28"/>
          <w:szCs w:val="28"/>
        </w:rPr>
        <w:t xml:space="preserve">. ун-т «Высшая школа экономики».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Изд. дом Высшей школы экономики, 2012. – 431 с.</w:t>
      </w:r>
    </w:p>
    <w:p w14:paraId="5D926101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Коваленко, В.В. Проектирование информационных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учеб. пособие / В.В. Коваленко.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ФОРУМ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ИНФРА-М, 2014. – 320 с.</w:t>
      </w:r>
    </w:p>
    <w:p w14:paraId="53A0473E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>Морозова, О.А. Интеграция корпоративных информационных систем: учеб. пособие / О.А. Морозова. – М.: Финансовый университет, 2014. – 140 с.</w:t>
      </w:r>
    </w:p>
    <w:p w14:paraId="46D9F43C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>Олейник, П.П. Корпоративные информационные системы: учебник для вузов / П.П. Олейник. – Стандарт третьего поколения. – СПб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Питер, 2012. – 176 с.</w:t>
      </w:r>
    </w:p>
    <w:p w14:paraId="327B6C0D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Фаулер, Мартин. Шаблоны корпоративных приложений.: пер. с англ.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ООО «И.Д. Вильямс», 2016. – 544 с.</w:t>
      </w:r>
    </w:p>
    <w:p w14:paraId="43ED08C9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Хоп, Грегор. Шаблоны интеграции корпоративных приложений / Грегор Хоп, Вульф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Бобби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пер. с англ.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ООО «И.Д. Вильямс», 2007. – 672 с.</w:t>
      </w:r>
    </w:p>
    <w:p w14:paraId="3113D706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>Бек, Кент. Шаблоны реализации корпоративных приложений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пер. с англ.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ООО «И.Д. Вильямс», 2008. – 176 с.</w:t>
      </w:r>
    </w:p>
    <w:p w14:paraId="612CC25E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>Волик, М.В. Корпоративные информационные системы на базе 1С: Предприятие 8: учеб. пособие / М.В. Волик. – Прометей, 2021. – 102 с.</w:t>
      </w:r>
    </w:p>
    <w:p w14:paraId="0D296B0A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Коцюба, И.Ю. Основы проектирования информационных систем / И.Ю. Коцюба, А.В. </w:t>
      </w:r>
      <w:proofErr w:type="spellStart"/>
      <w:r w:rsidRPr="00B03CD1">
        <w:rPr>
          <w:rFonts w:ascii="Times New Roman" w:hAnsi="Times New Roman" w:cs="Times New Roman"/>
          <w:sz w:val="28"/>
          <w:szCs w:val="28"/>
        </w:rPr>
        <w:t>Чунаев</w:t>
      </w:r>
      <w:proofErr w:type="spellEnd"/>
      <w:r w:rsidRPr="00B03CD1">
        <w:rPr>
          <w:rFonts w:ascii="Times New Roman" w:hAnsi="Times New Roman" w:cs="Times New Roman"/>
          <w:sz w:val="28"/>
          <w:szCs w:val="28"/>
        </w:rPr>
        <w:t xml:space="preserve">, А.Н. Шиков.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СПб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Университет ИТМО, 2015. – 362 с.</w:t>
      </w:r>
    </w:p>
    <w:p w14:paraId="08FC1EC6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Лаврищева, Е. М. Программная инженерия и технологии программирования сложных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систем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учебник для вузов / Е. М. Лаврищева. – 2-е изд., </w:t>
      </w:r>
      <w:proofErr w:type="spellStart"/>
      <w:r w:rsidRPr="00B03CD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B03C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и доп.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B03CD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03CD1">
        <w:rPr>
          <w:rFonts w:ascii="Times New Roman" w:hAnsi="Times New Roman" w:cs="Times New Roman"/>
          <w:sz w:val="28"/>
          <w:szCs w:val="28"/>
        </w:rPr>
        <w:t>, 2019. – 432 с.</w:t>
      </w:r>
    </w:p>
    <w:p w14:paraId="4B3557FD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>Мартин, Р. Чистая архитектура. Искусство разработки программного обеспечения / Р. Мартин. – СПб: Питер, 2019. – 352 с.</w:t>
      </w:r>
    </w:p>
    <w:p w14:paraId="587D5861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>Рихтер</w:t>
      </w:r>
      <w:r w:rsidRPr="00B03CD1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B03CD1">
        <w:rPr>
          <w:rFonts w:ascii="Times New Roman" w:hAnsi="Times New Roman" w:cs="Times New Roman"/>
          <w:sz w:val="28"/>
          <w:szCs w:val="28"/>
        </w:rPr>
        <w:t>Дж</w:t>
      </w:r>
      <w:r w:rsidRPr="00B03CD1">
        <w:rPr>
          <w:rFonts w:ascii="Times New Roman" w:hAnsi="Times New Roman" w:cs="Times New Roman"/>
          <w:sz w:val="28"/>
          <w:szCs w:val="28"/>
          <w:lang w:val="pt-BR"/>
        </w:rPr>
        <w:t xml:space="preserve">. CLR via C#. </w:t>
      </w:r>
      <w:r w:rsidRPr="00B03CD1">
        <w:rPr>
          <w:rFonts w:ascii="Times New Roman" w:hAnsi="Times New Roman" w:cs="Times New Roman"/>
          <w:sz w:val="28"/>
          <w:szCs w:val="28"/>
        </w:rPr>
        <w:t>Программирование на платформе Microsoft .NET Framework 4.5 на языке C#. 4-е изд. – СПб.: Питер, 2013. – 896 с.</w:t>
      </w:r>
    </w:p>
    <w:p w14:paraId="5BB4686A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 xml:space="preserve">Фримен, Адам. ASP.NET MVC 4 с примерами на C# 5.0 для профессионалов / Адам Фримен – 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ООО «И.Д. Вильямс», 2013. – 688 с.</w:t>
      </w:r>
    </w:p>
    <w:p w14:paraId="331688EB" w14:textId="77777777" w:rsidR="00B03CD1" w:rsidRPr="00B03CD1" w:rsidRDefault="00B03CD1" w:rsidP="00B03CD1">
      <w:pPr>
        <w:pStyle w:val="a5"/>
        <w:numPr>
          <w:ilvl w:val="0"/>
          <w:numId w:val="12"/>
        </w:numPr>
        <w:tabs>
          <w:tab w:val="left" w:pos="-4536"/>
          <w:tab w:val="left" w:pos="-4111"/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69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CD1">
        <w:rPr>
          <w:rFonts w:ascii="Times New Roman" w:hAnsi="Times New Roman" w:cs="Times New Roman"/>
          <w:sz w:val="28"/>
          <w:szCs w:val="28"/>
        </w:rPr>
        <w:t>Эванс, Эрик. Предметно-ориентированное проектирование (DDD): структуризация сложных программных систем Эрик Эванс</w:t>
      </w:r>
      <w:proofErr w:type="gramStart"/>
      <w:r w:rsidRPr="00B03CD1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03CD1">
        <w:rPr>
          <w:rFonts w:ascii="Times New Roman" w:hAnsi="Times New Roman" w:cs="Times New Roman"/>
          <w:sz w:val="28"/>
          <w:szCs w:val="28"/>
        </w:rPr>
        <w:t xml:space="preserve"> пер. с англ. – М.: ООО «И.Д. Вильямс», 2011. – 448 с.</w:t>
      </w:r>
    </w:p>
    <w:p w14:paraId="1ED38697" w14:textId="77777777" w:rsidR="00683DFA" w:rsidRPr="001206CD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77777777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Вопросы разработала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0876841E" w:rsidR="00D8356A" w:rsidRPr="00055FB5" w:rsidRDefault="00085778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ТОНКОВИЧ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</w:t>
      </w:r>
      <w:r w:rsidRPr="001206CD">
        <w:rPr>
          <w:rFonts w:ascii="Times New Roman" w:hAnsi="Times New Roman" w:cs="Times New Roman"/>
          <w:sz w:val="28"/>
          <w:szCs w:val="28"/>
        </w:rPr>
        <w:t>Ирина Николаевна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D0C80" w:rsidRPr="001206CD">
        <w:rPr>
          <w:rFonts w:ascii="Times New Roman" w:hAnsi="Times New Roman" w:cs="Times New Roman"/>
          <w:sz w:val="28"/>
          <w:szCs w:val="28"/>
        </w:rPr>
        <w:t>канд.</w:t>
      </w:r>
      <w:r w:rsidRPr="001206CD">
        <w:rPr>
          <w:rFonts w:ascii="Times New Roman" w:hAnsi="Times New Roman" w:cs="Times New Roman"/>
          <w:sz w:val="28"/>
          <w:szCs w:val="28"/>
        </w:rPr>
        <w:t>хим</w:t>
      </w:r>
      <w:proofErr w:type="gramEnd"/>
      <w:r w:rsidR="005D0C80" w:rsidRPr="001206CD">
        <w:rPr>
          <w:rFonts w:ascii="Times New Roman" w:hAnsi="Times New Roman" w:cs="Times New Roman"/>
          <w:sz w:val="28"/>
          <w:szCs w:val="28"/>
        </w:rPr>
        <w:t>.наук, доцент</w:t>
      </w: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A976" w14:textId="77777777" w:rsidR="007343EF" w:rsidRDefault="007343EF" w:rsidP="002B78F6">
      <w:r>
        <w:separator/>
      </w:r>
    </w:p>
  </w:endnote>
  <w:endnote w:type="continuationSeparator" w:id="0">
    <w:p w14:paraId="29922688" w14:textId="77777777" w:rsidR="007343EF" w:rsidRDefault="007343EF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ABE9" w14:textId="77777777" w:rsidR="007343EF" w:rsidRDefault="007343EF" w:rsidP="002B78F6">
      <w:r>
        <w:separator/>
      </w:r>
    </w:p>
  </w:footnote>
  <w:footnote w:type="continuationSeparator" w:id="0">
    <w:p w14:paraId="06938CF7" w14:textId="77777777" w:rsidR="007343EF" w:rsidRDefault="007343EF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0984"/>
    <w:multiLevelType w:val="hybridMultilevel"/>
    <w:tmpl w:val="9D5E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DF4E0F"/>
    <w:multiLevelType w:val="hybridMultilevel"/>
    <w:tmpl w:val="A402808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E6501"/>
    <w:multiLevelType w:val="hybridMultilevel"/>
    <w:tmpl w:val="613CB1B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311666">
    <w:abstractNumId w:val="10"/>
  </w:num>
  <w:num w:numId="2" w16cid:durableId="254481776">
    <w:abstractNumId w:val="12"/>
  </w:num>
  <w:num w:numId="3" w16cid:durableId="920873269">
    <w:abstractNumId w:val="8"/>
  </w:num>
  <w:num w:numId="4" w16cid:durableId="1787232996">
    <w:abstractNumId w:val="5"/>
  </w:num>
  <w:num w:numId="5" w16cid:durableId="257297270">
    <w:abstractNumId w:val="7"/>
  </w:num>
  <w:num w:numId="6" w16cid:durableId="2059892211">
    <w:abstractNumId w:val="4"/>
  </w:num>
  <w:num w:numId="7" w16cid:durableId="635575151">
    <w:abstractNumId w:val="3"/>
  </w:num>
  <w:num w:numId="8" w16cid:durableId="722368590">
    <w:abstractNumId w:val="0"/>
  </w:num>
  <w:num w:numId="9" w16cid:durableId="1057239003">
    <w:abstractNumId w:val="6"/>
  </w:num>
  <w:num w:numId="10" w16cid:durableId="1807045327">
    <w:abstractNumId w:val="1"/>
  </w:num>
  <w:num w:numId="11" w16cid:durableId="1669138716">
    <w:abstractNumId w:val="2"/>
  </w:num>
  <w:num w:numId="12" w16cid:durableId="1836456563">
    <w:abstractNumId w:val="9"/>
  </w:num>
  <w:num w:numId="13" w16cid:durableId="1964574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B0DDF"/>
    <w:rsid w:val="000B16F3"/>
    <w:rsid w:val="000B77A4"/>
    <w:rsid w:val="000B7A2E"/>
    <w:rsid w:val="000E116D"/>
    <w:rsid w:val="000E5CF8"/>
    <w:rsid w:val="000E642C"/>
    <w:rsid w:val="001127A0"/>
    <w:rsid w:val="001206CD"/>
    <w:rsid w:val="00120AE8"/>
    <w:rsid w:val="001273CF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78F6"/>
    <w:rsid w:val="002C4548"/>
    <w:rsid w:val="002E3B8A"/>
    <w:rsid w:val="002F0DDB"/>
    <w:rsid w:val="002F794D"/>
    <w:rsid w:val="00311549"/>
    <w:rsid w:val="003160C7"/>
    <w:rsid w:val="00321A0C"/>
    <w:rsid w:val="00327E5B"/>
    <w:rsid w:val="003339AF"/>
    <w:rsid w:val="0033737A"/>
    <w:rsid w:val="00342E68"/>
    <w:rsid w:val="00364042"/>
    <w:rsid w:val="003952F5"/>
    <w:rsid w:val="003B1E05"/>
    <w:rsid w:val="003C0A91"/>
    <w:rsid w:val="003D507A"/>
    <w:rsid w:val="003D643D"/>
    <w:rsid w:val="00405ADB"/>
    <w:rsid w:val="00414856"/>
    <w:rsid w:val="00414C5C"/>
    <w:rsid w:val="00416441"/>
    <w:rsid w:val="00416A88"/>
    <w:rsid w:val="004170F6"/>
    <w:rsid w:val="0042253E"/>
    <w:rsid w:val="00424853"/>
    <w:rsid w:val="00424926"/>
    <w:rsid w:val="00432053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4E2B8B"/>
    <w:rsid w:val="00501292"/>
    <w:rsid w:val="00531912"/>
    <w:rsid w:val="005358B2"/>
    <w:rsid w:val="00546FB6"/>
    <w:rsid w:val="00553FD8"/>
    <w:rsid w:val="00556E9A"/>
    <w:rsid w:val="00557DA9"/>
    <w:rsid w:val="00572BC3"/>
    <w:rsid w:val="00573155"/>
    <w:rsid w:val="00584D89"/>
    <w:rsid w:val="00594089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53F0C"/>
    <w:rsid w:val="006653F1"/>
    <w:rsid w:val="00683DFA"/>
    <w:rsid w:val="006915D2"/>
    <w:rsid w:val="00693FAB"/>
    <w:rsid w:val="006B785C"/>
    <w:rsid w:val="006C342A"/>
    <w:rsid w:val="006F5173"/>
    <w:rsid w:val="0071167F"/>
    <w:rsid w:val="007343EF"/>
    <w:rsid w:val="00774B90"/>
    <w:rsid w:val="0078222C"/>
    <w:rsid w:val="007C4447"/>
    <w:rsid w:val="007D5464"/>
    <w:rsid w:val="008040AC"/>
    <w:rsid w:val="00810463"/>
    <w:rsid w:val="00814C93"/>
    <w:rsid w:val="00816410"/>
    <w:rsid w:val="008214E6"/>
    <w:rsid w:val="0083747B"/>
    <w:rsid w:val="008469FD"/>
    <w:rsid w:val="008532C1"/>
    <w:rsid w:val="00853605"/>
    <w:rsid w:val="0086303C"/>
    <w:rsid w:val="008826F6"/>
    <w:rsid w:val="00890109"/>
    <w:rsid w:val="00896321"/>
    <w:rsid w:val="008A1168"/>
    <w:rsid w:val="008B239A"/>
    <w:rsid w:val="008B50E8"/>
    <w:rsid w:val="008C1246"/>
    <w:rsid w:val="008C53D4"/>
    <w:rsid w:val="0090029C"/>
    <w:rsid w:val="009678F0"/>
    <w:rsid w:val="009955A5"/>
    <w:rsid w:val="009A7EEA"/>
    <w:rsid w:val="009B096A"/>
    <w:rsid w:val="009B7986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F0DF9"/>
    <w:rsid w:val="00AF15EA"/>
    <w:rsid w:val="00AF4795"/>
    <w:rsid w:val="00AF6F05"/>
    <w:rsid w:val="00B03CD1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156F"/>
    <w:rsid w:val="00C003DF"/>
    <w:rsid w:val="00C01446"/>
    <w:rsid w:val="00C07061"/>
    <w:rsid w:val="00C205EC"/>
    <w:rsid w:val="00C2202F"/>
    <w:rsid w:val="00C24AA7"/>
    <w:rsid w:val="00C40C96"/>
    <w:rsid w:val="00C42930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CF6724"/>
    <w:rsid w:val="00D11356"/>
    <w:rsid w:val="00D11607"/>
    <w:rsid w:val="00D16A46"/>
    <w:rsid w:val="00D26B09"/>
    <w:rsid w:val="00D34796"/>
    <w:rsid w:val="00D4328B"/>
    <w:rsid w:val="00D448D3"/>
    <w:rsid w:val="00D50BBA"/>
    <w:rsid w:val="00D574A5"/>
    <w:rsid w:val="00D60CE2"/>
    <w:rsid w:val="00D73191"/>
    <w:rsid w:val="00D8356A"/>
    <w:rsid w:val="00D84B62"/>
    <w:rsid w:val="00D9160A"/>
    <w:rsid w:val="00DA4E26"/>
    <w:rsid w:val="00DB07A3"/>
    <w:rsid w:val="00DC50A1"/>
    <w:rsid w:val="00DE31A4"/>
    <w:rsid w:val="00DE3663"/>
    <w:rsid w:val="00DF7F1C"/>
    <w:rsid w:val="00E026C1"/>
    <w:rsid w:val="00E029B7"/>
    <w:rsid w:val="00E11121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B07EC"/>
    <w:rsid w:val="00EB7CEB"/>
    <w:rsid w:val="00ED53EE"/>
    <w:rsid w:val="00ED7DCD"/>
    <w:rsid w:val="00EE392A"/>
    <w:rsid w:val="00EF1321"/>
    <w:rsid w:val="00EF53E8"/>
    <w:rsid w:val="00F07D0E"/>
    <w:rsid w:val="00F11AFA"/>
    <w:rsid w:val="00F33FE1"/>
    <w:rsid w:val="00F370D5"/>
    <w:rsid w:val="00F756DB"/>
    <w:rsid w:val="00F76A93"/>
    <w:rsid w:val="00F8185E"/>
    <w:rsid w:val="00F84EB3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1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АЛЕКСЕЕВ Виктор Федорович</cp:lastModifiedBy>
  <cp:revision>2</cp:revision>
  <dcterms:created xsi:type="dcterms:W3CDTF">2025-11-27T00:54:00Z</dcterms:created>
  <dcterms:modified xsi:type="dcterms:W3CDTF">2025-11-27T00:54:00Z</dcterms:modified>
</cp:coreProperties>
</file>