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774"/>
        <w:gridCol w:w="7581"/>
      </w:tblGrid>
      <w:tr w:rsidR="00EF764C" w:rsidRPr="00CA4E00" w:rsidTr="0002423B">
        <w:tc>
          <w:tcPr>
            <w:tcW w:w="888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0D98D214" wp14:editId="3ABFF613">
                  <wp:extent cx="1011555" cy="1226185"/>
                  <wp:effectExtent l="0" t="0" r="0" b="0"/>
                  <wp:docPr id="1" name="Рисунок 2" descr="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pct"/>
            <w:shd w:val="clear" w:color="auto" w:fill="auto"/>
          </w:tcPr>
          <w:p w:rsidR="00EF764C" w:rsidRPr="00CA4E00" w:rsidRDefault="00EF764C" w:rsidP="0002423B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eastAsia="ru-RU"/>
              </w:rPr>
              <w:drawing>
                <wp:inline distT="0" distB="0" distL="0" distR="0" wp14:anchorId="60E20307" wp14:editId="599B0373">
                  <wp:extent cx="4777154" cy="1132002"/>
                  <wp:effectExtent l="0" t="0" r="4445" b="0"/>
                  <wp:docPr id="2" name="Рисунок 5" descr="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33" cy="113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3B" w:rsidRDefault="0002423B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</w:p>
    <w:p w:rsidR="00EF764C" w:rsidRPr="00083D6C" w:rsidRDefault="00EF764C" w:rsidP="0002423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45189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EF764C" w:rsidRPr="00083D6C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CE28C2" w:rsidRDefault="00EF764C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</w:t>
      </w:r>
      <w:r w:rsidR="00CE28C2" w:rsidRPr="00CE28C2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Обеспечение надёжности технических средств </w:t>
      </w:r>
    </w:p>
    <w:p w:rsidR="00EF764C" w:rsidRPr="00B30FCC" w:rsidRDefault="00CE28C2" w:rsidP="0002423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CE28C2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и программного обеспечения</w:t>
      </w:r>
      <w:r w:rsidR="00EF764C" w:rsidRPr="00B30FCC">
        <w:rPr>
          <w:rFonts w:ascii="Bookman Old Style" w:hAnsi="Bookman Old Style"/>
          <w:b/>
          <w:bCs/>
          <w:caps/>
          <w:color w:val="0000FF"/>
          <w:sz w:val="28"/>
          <w:szCs w:val="28"/>
        </w:rPr>
        <w:t xml:space="preserve">» </w:t>
      </w:r>
    </w:p>
    <w:p w:rsidR="00EF764C" w:rsidRPr="00B30FCC" w:rsidRDefault="00C57A19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EF764C">
        <w:rPr>
          <w:rFonts w:ascii="Bookman Old Style" w:hAnsi="Bookman Old Style"/>
          <w:b/>
          <w:color w:val="008000"/>
        </w:rPr>
        <w:t xml:space="preserve"> семестр 20</w:t>
      </w:r>
      <w:r w:rsidR="0064400D">
        <w:rPr>
          <w:rFonts w:ascii="Bookman Old Style" w:hAnsi="Bookman Old Style"/>
          <w:b/>
          <w:color w:val="008000"/>
        </w:rPr>
        <w:t>2</w:t>
      </w:r>
      <w:r w:rsidR="00521C1A">
        <w:rPr>
          <w:rFonts w:ascii="Bookman Old Style" w:hAnsi="Bookman Old Style"/>
          <w:b/>
          <w:color w:val="008000"/>
        </w:rPr>
        <w:t>4</w:t>
      </w:r>
      <w:r w:rsidR="00542A7A">
        <w:rPr>
          <w:rFonts w:ascii="Bookman Old Style" w:hAnsi="Bookman Old Style"/>
          <w:b/>
          <w:color w:val="008000"/>
        </w:rPr>
        <w:t>-20</w:t>
      </w:r>
      <w:r w:rsidR="00542A7A" w:rsidRPr="007E2046">
        <w:rPr>
          <w:rFonts w:ascii="Bookman Old Style" w:hAnsi="Bookman Old Style"/>
          <w:b/>
          <w:color w:val="008000"/>
        </w:rPr>
        <w:t>2</w:t>
      </w:r>
      <w:r w:rsidR="00521C1A">
        <w:rPr>
          <w:rFonts w:ascii="Bookman Old Style" w:hAnsi="Bookman Old Style"/>
          <w:b/>
          <w:color w:val="008000"/>
        </w:rPr>
        <w:t>5</w:t>
      </w:r>
      <w:r w:rsidR="00FD1255">
        <w:rPr>
          <w:rFonts w:ascii="Bookman Old Style" w:hAnsi="Bookman Old Style"/>
          <w:b/>
          <w:color w:val="008000"/>
        </w:rPr>
        <w:t xml:space="preserve"> </w:t>
      </w:r>
      <w:r w:rsidR="00EF764C" w:rsidRPr="00B30FCC">
        <w:rPr>
          <w:rFonts w:ascii="Bookman Old Style" w:hAnsi="Bookman Old Style"/>
          <w:b/>
          <w:color w:val="008000"/>
        </w:rPr>
        <w:t>учебного года</w:t>
      </w:r>
    </w:p>
    <w:p w:rsidR="00EF764C" w:rsidRPr="00EF764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Arial" w:hAnsi="Arial" w:cs="Arial"/>
          <w:b/>
          <w:color w:val="800000"/>
        </w:rPr>
      </w:pPr>
      <w:r w:rsidRPr="00B30FCC">
        <w:rPr>
          <w:rFonts w:ascii="Arial" w:hAnsi="Arial" w:cs="Arial"/>
          <w:b/>
          <w:color w:val="800000"/>
        </w:rPr>
        <w:t xml:space="preserve">Специальность </w:t>
      </w:r>
      <w:r w:rsidRPr="00EF764C">
        <w:rPr>
          <w:rFonts w:ascii="Arial" w:hAnsi="Arial" w:cs="Arial"/>
          <w:b/>
          <w:color w:val="800000"/>
        </w:rPr>
        <w:t>1-3</w:t>
      </w:r>
      <w:r w:rsidR="00C57A19">
        <w:rPr>
          <w:rFonts w:ascii="Arial" w:hAnsi="Arial" w:cs="Arial"/>
          <w:b/>
          <w:color w:val="800000"/>
        </w:rPr>
        <w:t>9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3</w:t>
      </w:r>
      <w:r w:rsidRPr="00EF764C">
        <w:rPr>
          <w:rFonts w:ascii="Arial" w:hAnsi="Arial" w:cs="Arial"/>
          <w:b/>
          <w:color w:val="800000"/>
        </w:rPr>
        <w:t xml:space="preserve"> 0</w:t>
      </w:r>
      <w:r w:rsidR="00C57A19">
        <w:rPr>
          <w:rFonts w:ascii="Arial" w:hAnsi="Arial" w:cs="Arial"/>
          <w:b/>
          <w:color w:val="800000"/>
        </w:rPr>
        <w:t>1</w:t>
      </w:r>
      <w:r w:rsidRPr="00EF764C">
        <w:rPr>
          <w:rFonts w:ascii="Arial" w:hAnsi="Arial" w:cs="Arial"/>
          <w:b/>
          <w:color w:val="800000"/>
        </w:rPr>
        <w:t xml:space="preserve"> </w:t>
      </w:r>
      <w:r w:rsidR="00C57A19">
        <w:rPr>
          <w:rFonts w:ascii="Arial" w:hAnsi="Arial" w:cs="Arial"/>
          <w:b/>
          <w:color w:val="800000"/>
        </w:rPr>
        <w:t>Электронные системы</w:t>
      </w:r>
      <w:r w:rsidR="00D20BFB">
        <w:rPr>
          <w:rFonts w:ascii="Arial" w:hAnsi="Arial" w:cs="Arial"/>
          <w:b/>
          <w:color w:val="800000"/>
        </w:rPr>
        <w:t xml:space="preserve"> безопасности</w:t>
      </w:r>
    </w:p>
    <w:p w:rsidR="00EF764C" w:rsidRPr="00083D6C" w:rsidRDefault="00EF764C" w:rsidP="0002423B">
      <w:pPr>
        <w:tabs>
          <w:tab w:val="left" w:pos="-3686"/>
        </w:tabs>
        <w:spacing w:after="0" w:line="240" w:lineRule="auto"/>
        <w:jc w:val="center"/>
        <w:rPr>
          <w:rFonts w:ascii="Bookman Old Style" w:hAnsi="Bookman Old Style"/>
          <w:b/>
          <w:color w:val="008000"/>
        </w:rPr>
      </w:pPr>
      <w:r>
        <w:rPr>
          <w:rFonts w:ascii="Bookman Old Style" w:hAnsi="Bookman Old Style"/>
          <w:b/>
          <w:color w:val="008000"/>
        </w:rPr>
        <w:t>(групп</w:t>
      </w:r>
      <w:r w:rsidR="007C31E9">
        <w:rPr>
          <w:rFonts w:ascii="Bookman Old Style" w:hAnsi="Bookman Old Style"/>
          <w:b/>
          <w:color w:val="008000"/>
        </w:rPr>
        <w:t>ы</w:t>
      </w:r>
      <w:r w:rsidRPr="00B30FCC">
        <w:rPr>
          <w:rFonts w:ascii="Bookman Old Style" w:hAnsi="Bookman Old Style"/>
          <w:b/>
          <w:color w:val="008000"/>
        </w:rPr>
        <w:t xml:space="preserve"> </w:t>
      </w:r>
      <w:r w:rsidR="00521C1A">
        <w:rPr>
          <w:rFonts w:ascii="Bookman Old Style" w:hAnsi="Bookman Old Style"/>
          <w:b/>
          <w:color w:val="008000"/>
        </w:rPr>
        <w:t>2</w:t>
      </w:r>
      <w:r w:rsidR="00C57A19">
        <w:rPr>
          <w:rFonts w:ascii="Bookman Old Style" w:hAnsi="Bookman Old Style"/>
          <w:b/>
          <w:color w:val="008000"/>
        </w:rPr>
        <w:t>13301</w:t>
      </w:r>
      <w:r w:rsidR="007C31E9">
        <w:rPr>
          <w:rFonts w:ascii="Bookman Old Style" w:hAnsi="Bookman Old Style"/>
          <w:b/>
          <w:color w:val="008000"/>
        </w:rPr>
        <w:t xml:space="preserve">, </w:t>
      </w:r>
      <w:r w:rsidR="00521C1A">
        <w:rPr>
          <w:rFonts w:ascii="Bookman Old Style" w:hAnsi="Bookman Old Style"/>
          <w:b/>
          <w:color w:val="008000"/>
        </w:rPr>
        <w:t>2</w:t>
      </w:r>
      <w:bookmarkStart w:id="0" w:name="_GoBack"/>
      <w:bookmarkEnd w:id="0"/>
      <w:r w:rsidR="00FD1255">
        <w:rPr>
          <w:rFonts w:ascii="Bookman Old Style" w:hAnsi="Bookman Old Style"/>
          <w:b/>
          <w:color w:val="008000"/>
        </w:rPr>
        <w:t>13371</w:t>
      </w:r>
      <w:r w:rsidRPr="00B30FCC">
        <w:rPr>
          <w:rFonts w:ascii="Bookman Old Style" w:hAnsi="Bookman Old Style"/>
          <w:b/>
          <w:color w:val="008000"/>
        </w:rPr>
        <w:t>)</w:t>
      </w:r>
    </w:p>
    <w:p w:rsidR="00EF764C" w:rsidRPr="0002423B" w:rsidRDefault="00EF764C" w:rsidP="000242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1C60" w:rsidRDefault="009D1C6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Структурная схема надёжности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(ССН)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электронной системы безопасности 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(ЭСБ)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>и принципы её составления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Вклад в ненадёжность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>ЭСБ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комплекса технических средств, программного обеспечения, технического персонала и </w:t>
      </w:r>
      <w:r w:rsidR="0054589B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операторов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Эксплуатационная надёжность электронных средств. Программа обеспечения надёжности технических средств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>ЭСБ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Общая характеристика методов обеспечения надёжности электронных устройств и систем на этапе проектирования.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Выбор электрических схем и электрических режимов работы элементов.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Априорное (начальное) ограничение 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электрической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нагрузки элементов.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Выбор коэффициентов нагрузки элементов с учётом производственного разброса параметров и питающих напряжений. Карты электрических режимов работы элементов.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Влияние </w:t>
      </w:r>
      <w:r w:rsidR="00B67D12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конструктивного исполнения (удачности компоновки)</w:t>
      </w:r>
      <w:r w:rsidR="00B67D12" w:rsidRP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технических средств</w:t>
      </w:r>
      <w:r w:rsidR="00B67D12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надёжность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для конструкции высоконадёжных комплектующих элементов и изделий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защита их от воздействия дестабилизирующих факторов.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Выбор элементов </w:t>
      </w:r>
      <w:r w:rsidR="00D631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стойкости к действию факторов окружающей среды.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11.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Учёт </w:t>
      </w:r>
      <w:r w:rsidR="00D6315E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старения материалов</w:t>
      </w:r>
      <w:r w:rsidR="00D631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обеспечении надёжности технических средств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12. </w:t>
      </w:r>
      <w:r w:rsidR="00D6315E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м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ероприяти</w:t>
      </w:r>
      <w:r w:rsidR="00D6315E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обеспечению ремонтопригодности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технических средств.</w:t>
      </w:r>
    </w:p>
    <w:p w:rsidR="009D1C60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13. </w:t>
      </w:r>
      <w:r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резервирования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обеспечение надёжности технических средств и систем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52C3B" w:rsidRDefault="00252C3B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14. Характеристика м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етод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повышения надёжности электронных технических средств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систем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на этапе производства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5510" w:rsidRDefault="009D1C6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15. </w:t>
      </w:r>
      <w:r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Входной контроль комплектующих элементов и материалов</w:t>
      </w:r>
      <w:r w:rsid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способ </w:t>
      </w:r>
      <w:r w:rsidR="00B67D12">
        <w:rPr>
          <w:rFonts w:ascii="Times New Roman" w:eastAsia="Times New Roman" w:hAnsi="Times New Roman" w:cs="Times New Roman"/>
          <w:color w:val="000000"/>
          <w:sz w:val="27"/>
          <w:szCs w:val="27"/>
        </w:rPr>
        <w:t>повышения</w:t>
      </w:r>
      <w:r w:rsid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надёжности технических средств при их изготовлении</w:t>
      </w:r>
      <w:r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E5510" w:rsidRDefault="002E551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16.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Тренировка элементов и технологический прогон электронных устройств. </w:t>
      </w:r>
    </w:p>
    <w:p w:rsidR="002E5510" w:rsidRDefault="002E551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17.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Отбраковка потенциально ненадёжных 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комплектующих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элементов методами неразрушающего контроля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их качества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E5510" w:rsidRDefault="002E551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18.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Отбор элементов требуемого уровня надёжности методами индивидуального прогнозирования. </w:t>
      </w:r>
    </w:p>
    <w:p w:rsidR="00EA4296" w:rsidRDefault="00EA4296" w:rsidP="00EA429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Pr="00EA4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индивидуального прогнозирование работоспособности элементов по значениям их информативных параметров.</w:t>
      </w:r>
      <w:r w:rsidRPr="00EA4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A4296" w:rsidRDefault="00EA4296" w:rsidP="00EA429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Этапы решения задачи </w:t>
      </w:r>
      <w:r w:rsidR="005B3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прогнозирования работоспособности </w:t>
      </w:r>
      <w:r w:rsidR="005B3F51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элементов с использованием их информативных параметров.</w:t>
      </w:r>
    </w:p>
    <w:p w:rsidR="003C2D72" w:rsidRDefault="005B3F51" w:rsidP="00EA429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 </w:t>
      </w:r>
      <w:r w:rsidRPr="005B3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Характеристика методов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обеспечения</w:t>
      </w:r>
      <w:r w:rsidRPr="005B3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надёжности электронных технических средств и систем на этапе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 эксплуатации</w:t>
      </w:r>
      <w:r w:rsidRPr="005B3F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3F51" w:rsidRDefault="003C2D72" w:rsidP="00EA429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 </w:t>
      </w:r>
      <w:r w:rsidRPr="003C2D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Условия эксплуатации и плановое техническое профилактическое обслуживание </w:t>
      </w:r>
      <w:r w:rsidR="00731651">
        <w:rPr>
          <w:rFonts w:ascii="Times New Roman" w:eastAsia="Times New Roman" w:hAnsi="Times New Roman" w:cs="Times New Roman"/>
          <w:sz w:val="27"/>
          <w:szCs w:val="27"/>
          <w:lang w:eastAsia="ru-RU"/>
        </w:rPr>
        <w:t>ЭСБ</w:t>
      </w:r>
      <w:r w:rsidRPr="003C2D7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A4296" w:rsidRDefault="005B3F51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EA4296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и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ндивидуально</w:t>
      </w:r>
      <w:r w:rsidR="00EA4296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прогнозировани</w:t>
      </w:r>
      <w:r w:rsidR="00EA4296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A42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надёжности технических средств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методом экстраполяции значений </w:t>
      </w:r>
      <w:r w:rsidR="00EA42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электрических функциональных параметров.</w:t>
      </w:r>
    </w:p>
    <w:p w:rsidR="00EA4296" w:rsidRPr="00EA4296" w:rsidRDefault="00EA4296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29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C2D7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A4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B3F51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решения задач прогнозирования надёжности электронных технических средств методом экстраполяции их электрических функциональных параметров.</w:t>
      </w:r>
    </w:p>
    <w:p w:rsidR="002E5510" w:rsidRDefault="002E551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Резервирование как метод повышения надёжности электронных устройств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систем.</w:t>
      </w:r>
    </w:p>
    <w:p w:rsidR="002E5510" w:rsidRDefault="002E551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Виды резервирования. </w:t>
      </w:r>
    </w:p>
    <w:p w:rsidR="002E5510" w:rsidRDefault="002E551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Структурное резервирование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5510" w:rsidRDefault="002E5510" w:rsidP="002E5510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постоянного резервирования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>(случай принципиальности характера отказов элемента резервируемой структуры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: короткое замыкание или обрыв</w:t>
      </w:r>
      <w:r w:rsidRPr="002E551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5510" w:rsidRDefault="002E5510" w:rsidP="002E5510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Оценка показателей безотказности 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электронных устройств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наличии постоянного резервирования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(случай принципиальности характера отказа элементов, параллельный и последовательный способы соединения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50CB" w:rsidRDefault="003C2D72" w:rsidP="002E5510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Оценка показателей безотказности 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электронных устройств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наличии постоянного резервирования (случай принципиальности характера отказа элементов, смешанный способ соединения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элементов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50CB" w:rsidRDefault="005B3F51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Эффективность постоянного резервирования при параллельном или последовательном соединении элементов резервируемого узла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(случай принципиальности характера отказа элементов)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50CB" w:rsidRDefault="005B3F51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Эффективность постоянного резервирования при смешанном соединении элементов резервируемого узла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(случай принципиальности характера отказа элементов)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50CB" w:rsidRDefault="005B3F51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Эффективность постоянного резервирования в случае непринципиальности характера отказов элементов резервируемого узла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50CB" w:rsidRDefault="005B3F51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7B50CB"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Эффективность общего и раздельного резервирования</w:t>
      </w:r>
      <w:r w:rsid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50CB" w:rsidRDefault="007B50CB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7B50CB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Общий подход к анализу надёжности систем (устройств) при наличии резервирования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8C14D7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резервирования замещением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8C14D7" w:rsidP="007B50C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Оценка безотказности электронных устройств при наличии резервирования замещением (на примере нагруженного резерва)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8C14D7" w:rsidP="008C14D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кратности резерва на эффективность резервирования замещением (нагруженный резерв)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8C14D7" w:rsidP="008C14D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кратности резерва на эффективность резервирования замещением (ненагруженный резерв)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3C2D72" w:rsidP="008C14D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40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8C14D7"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кратности резерва на эффективность резервирования замещением (облегчённый резерв)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5B3F51" w:rsidP="008C14D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8C14D7"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Квазирезервирование и область его применения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5B3F51" w:rsidP="008C14D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8C14D7"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Надёжность резервируемых элементов 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(структур) </w:t>
      </w:r>
      <w:r w:rsidR="008C14D7"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с учётом их восстановления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5B3F51" w:rsidP="008C14D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8C14D7" w:rsidRP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Расчёт надёжности ЭСБ с учётом резервирования её составных частей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14D7" w:rsidRDefault="005B3F51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8C14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Временные отказы (сбои) технических устройств 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>ЭСБ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их влияние на эффективность функционирования системы.</w:t>
      </w:r>
    </w:p>
    <w:p w:rsidR="009D1C60" w:rsidRDefault="008C14D7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B7E39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о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ценк</w:t>
      </w:r>
      <w:r w:rsidR="005B7E39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проектной эффективности функционирования </w:t>
      </w:r>
      <w:r w:rsidR="005B7E39">
        <w:rPr>
          <w:rFonts w:ascii="Times New Roman" w:eastAsia="Times New Roman" w:hAnsi="Times New Roman" w:cs="Times New Roman"/>
          <w:color w:val="000000"/>
          <w:sz w:val="27"/>
          <w:szCs w:val="27"/>
        </w:rPr>
        <w:t>ЭСБ.</w:t>
      </w:r>
    </w:p>
    <w:p w:rsidR="008C14D7" w:rsidRDefault="008C14D7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Причины и проявление ненадёжности прикладных компьютерных программ. </w:t>
      </w:r>
    </w:p>
    <w:p w:rsidR="00C45189" w:rsidRDefault="008C14D7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Количественные показатели для описания надёжности прикладных компьютерных программ. </w:t>
      </w:r>
    </w:p>
    <w:p w:rsidR="00C45189" w:rsidRDefault="00C4518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Эксплуатационная надёжность компьютерных программ. </w:t>
      </w:r>
    </w:p>
    <w:p w:rsidR="00C45189" w:rsidRDefault="00C4518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объёма компьютерной программы на её надёжность. </w:t>
      </w:r>
    </w:p>
    <w:p w:rsidR="00C45189" w:rsidRDefault="003C2D72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50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Характеристика факторов, влияющих на вероятность возникновения отказа </w:t>
      </w:r>
      <w:r w:rsidR="00922A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компьютерной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программы: быстродействие процессора; степень изменчивости входных данных и состояний управления компьютером; рабочая нагрузка, оказываемая эксплуатационной средой на компьютерную программу. </w:t>
      </w:r>
    </w:p>
    <w:p w:rsidR="00C45189" w:rsidRDefault="005B3F51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Прогнозирующие модели надёжности прикладных компьютерных программ. Модели Холстеда и Мотли-Брукса, ограничения моделей. </w:t>
      </w:r>
    </w:p>
    <w:p w:rsidR="009D1C60" w:rsidRDefault="005B3F51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Метод оценки надёжности планируемых к разработке прикладных компьютерных программ для 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>ЭСБ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модел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>ям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, полученн</w:t>
      </w:r>
      <w:r w:rsidR="00731651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основе экспериментальных данных об эксплуатационной надёжности компьютерных программ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45189" w:rsidRDefault="005B3F51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Влияние области применения на среднюю плотность ошибок в разрабатываемой компьютерной программе. </w:t>
      </w:r>
    </w:p>
    <w:p w:rsidR="00C45189" w:rsidRDefault="005B3F51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C451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Обеспечение эксплуатационной надёжности компьютерной программы её тестированием. </w:t>
      </w:r>
    </w:p>
    <w:p w:rsidR="00C45189" w:rsidRDefault="00C4518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Коэффициент эффективности тестирования компьютерной программы.</w:t>
      </w:r>
    </w:p>
    <w:p w:rsidR="00C45189" w:rsidRDefault="00C4518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процессорного времени выполнения компьютерной программы при её тестировании для обеспечения требуемого значения коэффициента эффективности тестирования. </w:t>
      </w:r>
    </w:p>
    <w:p w:rsidR="009D1C60" w:rsidRDefault="00C45189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3C2D72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Принцип о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пределени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нормативной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календарной </w:t>
      </w:r>
      <w:r w:rsidR="009D1C60" w:rsidRPr="009D1C60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трудоёмкости процедуры тестирования компьютерной программы.</w:t>
      </w:r>
    </w:p>
    <w:p w:rsidR="009D1C60" w:rsidRDefault="009D1C60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4296" w:rsidRDefault="00EA4296" w:rsidP="00C57A1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01B7E" w:rsidRPr="003D2332" w:rsidRDefault="00001B7E" w:rsidP="0002423B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Вопросы составил:</w:t>
      </w:r>
    </w:p>
    <w:p w:rsidR="00001B7E" w:rsidRPr="003D2332" w:rsidRDefault="0002423B" w:rsidP="006D178D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БОРОВИКОВ Сергей Максимович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01B7E" w:rsidRPr="003D23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канд. техн. наук, доцент</w:t>
      </w:r>
      <w:r w:rsidR="003C2D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6916AC" w:rsidRPr="003D2332" w:rsidRDefault="006916AC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p w:rsidR="000E670D" w:rsidRPr="003D2332" w:rsidRDefault="000E670D" w:rsidP="0002423B">
      <w:pPr>
        <w:spacing w:after="0" w:line="240" w:lineRule="auto"/>
        <w:ind w:firstLine="709"/>
        <w:jc w:val="both"/>
        <w:rPr>
          <w:spacing w:val="4"/>
          <w:sz w:val="28"/>
          <w:szCs w:val="28"/>
        </w:rPr>
      </w:pPr>
    </w:p>
    <w:sectPr w:rsidR="000E670D" w:rsidRPr="003D2332" w:rsidSect="003D30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46" w:rsidRDefault="00332346" w:rsidP="003D30E7">
      <w:pPr>
        <w:spacing w:after="0" w:line="240" w:lineRule="auto"/>
      </w:pPr>
      <w:r>
        <w:separator/>
      </w:r>
    </w:p>
  </w:endnote>
  <w:endnote w:type="continuationSeparator" w:id="0">
    <w:p w:rsidR="00332346" w:rsidRDefault="00332346" w:rsidP="003D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46" w:rsidRDefault="00332346" w:rsidP="003D30E7">
      <w:pPr>
        <w:spacing w:after="0" w:line="240" w:lineRule="auto"/>
      </w:pPr>
      <w:r>
        <w:separator/>
      </w:r>
    </w:p>
  </w:footnote>
  <w:footnote w:type="continuationSeparator" w:id="0">
    <w:p w:rsidR="00332346" w:rsidRDefault="00332346" w:rsidP="003D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624807"/>
      <w:docPartObj>
        <w:docPartGallery w:val="Page Numbers (Top of Page)"/>
        <w:docPartUnique/>
      </w:docPartObj>
    </w:sdtPr>
    <w:sdtEndPr/>
    <w:sdtContent>
      <w:p w:rsidR="003D30E7" w:rsidRDefault="003D30E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1A">
          <w:rPr>
            <w:noProof/>
          </w:rPr>
          <w:t>3</w:t>
        </w:r>
        <w:r>
          <w:fldChar w:fldCharType="end"/>
        </w:r>
      </w:p>
    </w:sdtContent>
  </w:sdt>
  <w:p w:rsidR="003D30E7" w:rsidRDefault="003D30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6"/>
    <w:rsid w:val="00001B7E"/>
    <w:rsid w:val="0002423B"/>
    <w:rsid w:val="00064133"/>
    <w:rsid w:val="00092329"/>
    <w:rsid w:val="000C3FF3"/>
    <w:rsid w:val="000D1288"/>
    <w:rsid w:val="000E670D"/>
    <w:rsid w:val="000F0C97"/>
    <w:rsid w:val="001021D7"/>
    <w:rsid w:val="00117331"/>
    <w:rsid w:val="00155DB0"/>
    <w:rsid w:val="00183433"/>
    <w:rsid w:val="00195BC9"/>
    <w:rsid w:val="00252C3B"/>
    <w:rsid w:val="002D7E66"/>
    <w:rsid w:val="002E5510"/>
    <w:rsid w:val="002F1F17"/>
    <w:rsid w:val="00311F16"/>
    <w:rsid w:val="00332346"/>
    <w:rsid w:val="00332EC9"/>
    <w:rsid w:val="00377F19"/>
    <w:rsid w:val="003C2D72"/>
    <w:rsid w:val="003D2332"/>
    <w:rsid w:val="003D30E7"/>
    <w:rsid w:val="003D56C4"/>
    <w:rsid w:val="00407A06"/>
    <w:rsid w:val="00421254"/>
    <w:rsid w:val="004221E1"/>
    <w:rsid w:val="004538D1"/>
    <w:rsid w:val="00462F2A"/>
    <w:rsid w:val="00484223"/>
    <w:rsid w:val="004A15CB"/>
    <w:rsid w:val="0050288A"/>
    <w:rsid w:val="00505DFA"/>
    <w:rsid w:val="00521C1A"/>
    <w:rsid w:val="00536D8F"/>
    <w:rsid w:val="00542A7A"/>
    <w:rsid w:val="0054589B"/>
    <w:rsid w:val="0056022C"/>
    <w:rsid w:val="005B3F51"/>
    <w:rsid w:val="005B61EF"/>
    <w:rsid w:val="005B7E39"/>
    <w:rsid w:val="005D6386"/>
    <w:rsid w:val="005E55F9"/>
    <w:rsid w:val="005F1951"/>
    <w:rsid w:val="0061764C"/>
    <w:rsid w:val="006319FE"/>
    <w:rsid w:val="0064400D"/>
    <w:rsid w:val="00674A9D"/>
    <w:rsid w:val="006916AC"/>
    <w:rsid w:val="006D178D"/>
    <w:rsid w:val="00707D59"/>
    <w:rsid w:val="00726B17"/>
    <w:rsid w:val="00731651"/>
    <w:rsid w:val="007932F4"/>
    <w:rsid w:val="007942E9"/>
    <w:rsid w:val="007B50CB"/>
    <w:rsid w:val="007C31E9"/>
    <w:rsid w:val="007C4415"/>
    <w:rsid w:val="007E2046"/>
    <w:rsid w:val="008177EB"/>
    <w:rsid w:val="00837CBA"/>
    <w:rsid w:val="00885013"/>
    <w:rsid w:val="008C14D7"/>
    <w:rsid w:val="00910231"/>
    <w:rsid w:val="00912326"/>
    <w:rsid w:val="00913623"/>
    <w:rsid w:val="009210E8"/>
    <w:rsid w:val="00922ADB"/>
    <w:rsid w:val="00942C6C"/>
    <w:rsid w:val="00950660"/>
    <w:rsid w:val="0095076B"/>
    <w:rsid w:val="00960C16"/>
    <w:rsid w:val="00990DB6"/>
    <w:rsid w:val="00991B26"/>
    <w:rsid w:val="009D1C60"/>
    <w:rsid w:val="00A364F2"/>
    <w:rsid w:val="00AE1472"/>
    <w:rsid w:val="00AE6332"/>
    <w:rsid w:val="00B23B29"/>
    <w:rsid w:val="00B3639C"/>
    <w:rsid w:val="00B4248B"/>
    <w:rsid w:val="00B46827"/>
    <w:rsid w:val="00B56DED"/>
    <w:rsid w:val="00B60372"/>
    <w:rsid w:val="00B67D12"/>
    <w:rsid w:val="00BB1A90"/>
    <w:rsid w:val="00BC22F8"/>
    <w:rsid w:val="00BD0E9C"/>
    <w:rsid w:val="00BE325D"/>
    <w:rsid w:val="00C45189"/>
    <w:rsid w:val="00C57A19"/>
    <w:rsid w:val="00C7772A"/>
    <w:rsid w:val="00CC6E21"/>
    <w:rsid w:val="00CE28C2"/>
    <w:rsid w:val="00D20BFB"/>
    <w:rsid w:val="00D6315E"/>
    <w:rsid w:val="00DA14C2"/>
    <w:rsid w:val="00E114A6"/>
    <w:rsid w:val="00E13AAC"/>
    <w:rsid w:val="00E21206"/>
    <w:rsid w:val="00EA4296"/>
    <w:rsid w:val="00EB5833"/>
    <w:rsid w:val="00EC5F7F"/>
    <w:rsid w:val="00EF764C"/>
    <w:rsid w:val="00F02AB6"/>
    <w:rsid w:val="00F3344C"/>
    <w:rsid w:val="00F426E2"/>
    <w:rsid w:val="00F5284C"/>
    <w:rsid w:val="00F7313C"/>
    <w:rsid w:val="00F81FCC"/>
    <w:rsid w:val="00FD1255"/>
    <w:rsid w:val="00FE0D44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230B"/>
  <w15:docId w15:val="{9457E439-A56B-4364-96B8-696A5112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6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6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41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D3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0E7"/>
  </w:style>
  <w:style w:type="paragraph" w:styleId="a9">
    <w:name w:val="List Paragraph"/>
    <w:basedOn w:val="a"/>
    <w:uiPriority w:val="34"/>
    <w:qFormat/>
    <w:rsid w:val="0025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bsm bsm</cp:lastModifiedBy>
  <cp:revision>24</cp:revision>
  <dcterms:created xsi:type="dcterms:W3CDTF">2024-03-11T21:01:00Z</dcterms:created>
  <dcterms:modified xsi:type="dcterms:W3CDTF">2025-05-07T18:31:00Z</dcterms:modified>
</cp:coreProperties>
</file>