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75CD2" w:rsidTr="00275CD2">
        <w:tc>
          <w:tcPr>
            <w:tcW w:w="9345" w:type="dxa"/>
          </w:tcPr>
          <w:p w:rsidR="00275CD2" w:rsidRDefault="00275CD2" w:rsidP="00275CD2">
            <w:pPr>
              <w:jc w:val="center"/>
              <w:outlineLvl w:val="1"/>
              <w:rPr>
                <w:rFonts w:eastAsia="Times New Roman" w:cs="Arial"/>
                <w:b/>
                <w:bCs/>
                <w:caps/>
                <w:color w:val="0000FF"/>
                <w:spacing w:val="15"/>
                <w:sz w:val="30"/>
                <w:szCs w:val="30"/>
                <w:lang w:eastAsia="ru-RU"/>
              </w:rPr>
            </w:pPr>
            <w:r>
              <w:rPr>
                <w:rFonts w:eastAsia="Times New Roman" w:cs="Arial"/>
                <w:b/>
                <w:bCs/>
                <w:caps/>
                <w:noProof/>
                <w:color w:val="0000FF"/>
                <w:spacing w:val="15"/>
                <w:sz w:val="30"/>
                <w:szCs w:val="30"/>
                <w:lang w:eastAsia="ru-RU"/>
              </w:rPr>
              <w:drawing>
                <wp:inline distT="0" distB="0" distL="0" distR="0">
                  <wp:extent cx="5952744" cy="1417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ПИКС_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0624" cy="141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CD2" w:rsidRPr="00275CD2" w:rsidRDefault="00275CD2" w:rsidP="00275CD2">
      <w:pPr>
        <w:shd w:val="clear" w:color="auto" w:fill="FFFFFF"/>
        <w:spacing w:before="300" w:after="300"/>
        <w:jc w:val="center"/>
        <w:outlineLvl w:val="1"/>
        <w:rPr>
          <w:rFonts w:eastAsia="Times New Roman" w:cs="Arial"/>
          <w:b/>
          <w:bCs/>
          <w:caps/>
          <w:color w:val="0000FF"/>
          <w:spacing w:val="15"/>
          <w:sz w:val="30"/>
          <w:szCs w:val="30"/>
          <w:lang w:eastAsia="ru-RU"/>
        </w:rPr>
      </w:pPr>
      <w:r w:rsidRPr="00275CD2">
        <w:rPr>
          <w:rFonts w:eastAsia="Times New Roman" w:cs="Arial"/>
          <w:b/>
          <w:bCs/>
          <w:caps/>
          <w:color w:val="0000FF"/>
          <w:spacing w:val="15"/>
          <w:sz w:val="30"/>
          <w:szCs w:val="30"/>
          <w:lang w:eastAsia="ru-RU"/>
        </w:rPr>
        <w:t>ПУБЛИКАЦИИ ЗА 2019 ГОД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proofErr w:type="gramStart"/>
      <w:r w:rsidRPr="00275CD2">
        <w:rPr>
          <w:rFonts w:eastAsia="Times New Roman" w:cs="Arial"/>
          <w:b/>
          <w:bCs/>
          <w:color w:val="3465A4"/>
          <w:sz w:val="23"/>
          <w:szCs w:val="23"/>
          <w:shd w:val="clear" w:color="auto" w:fill="FFFFFF"/>
          <w:lang w:eastAsia="ru-RU"/>
        </w:rPr>
        <w:t>::</w:t>
      </w:r>
      <w:proofErr w:type="gramEnd"/>
      <w:r w:rsidRPr="00275CD2">
        <w:rPr>
          <w:rFonts w:eastAsia="Times New Roman" w:cs="Arial"/>
          <w:b/>
          <w:bCs/>
          <w:color w:val="3465A4"/>
          <w:sz w:val="23"/>
          <w:szCs w:val="23"/>
          <w:shd w:val="clear" w:color="auto" w:fill="FFFFFF"/>
          <w:lang w:eastAsia="ru-RU"/>
        </w:rPr>
        <w:t xml:space="preserve"> УЧЕБНО-МЕТОДИЧЕСКИЕ ПОСОБИЯ И ПРОГРАММЫ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Электрические и электронные компоненты устройств и </w:t>
      </w:r>
      <w:proofErr w:type="gram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систем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учеб.- метод. пособие / В. В. Баранов [и др.]. -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Минск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БГУИР, 2019. - 136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с.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ил.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2. 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Проектирование электронных систем безопасности.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Лабораторный практикум. В 2 ч. Ч. 2 : Безопасность в местах массового пребывания людей : пособие / В. В. Хорошко [и др.]. -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Минск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БГУИР, 2019. - 124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с.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ил.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proofErr w:type="gramStart"/>
      <w:r w:rsidRPr="00275CD2">
        <w:rPr>
          <w:rFonts w:eastAsia="Times New Roman" w:cs="Arial"/>
          <w:b/>
          <w:bCs/>
          <w:color w:val="3465A4"/>
          <w:sz w:val="23"/>
          <w:szCs w:val="23"/>
          <w:shd w:val="clear" w:color="auto" w:fill="FFFFFF"/>
          <w:lang w:eastAsia="ru-RU"/>
        </w:rPr>
        <w:t>::</w:t>
      </w:r>
      <w:proofErr w:type="gramEnd"/>
      <w:r w:rsidRPr="00275CD2">
        <w:rPr>
          <w:rFonts w:eastAsia="Times New Roman" w:cs="Arial"/>
          <w:b/>
          <w:bCs/>
          <w:color w:val="3465A4"/>
          <w:sz w:val="23"/>
          <w:szCs w:val="23"/>
          <w:shd w:val="clear" w:color="auto" w:fill="FFFFFF"/>
          <w:lang w:eastAsia="ru-RU"/>
        </w:rPr>
        <w:t xml:space="preserve"> СТАТЬИ В ИЗДАНИЯХ, РЕКОМЕНДОВАННЫХ ВАК К ОПУБЛИКОВАНИЮ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1. Алексеев, В. Ф.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Дуализм инновационных подходов при организации учебного процесса в вузе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Ф. Алексеев, Д. В. Лихачевский //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Вышэйшая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школа. - 2019. - № 1 (129). - С. 46-48.</w:t>
      </w:r>
      <w:bookmarkStart w:id="0" w:name="_GoBack"/>
      <w:bookmarkEnd w:id="0"/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2. </w:t>
      </w:r>
      <w:hyperlink r:id="rId5" w:tgtFrame="_blank" w:history="1">
        <w:r w:rsidRPr="00275CD2">
          <w:rPr>
            <w:rFonts w:eastAsia="Times New Roman" w:cs="Arial"/>
            <w:b/>
            <w:bCs/>
            <w:color w:val="0F508B"/>
            <w:sz w:val="23"/>
            <w:szCs w:val="23"/>
            <w:u w:val="single"/>
            <w:shd w:val="clear" w:color="auto" w:fill="FFFFFF"/>
            <w:lang w:eastAsia="ru-RU"/>
          </w:rPr>
          <w:t>Исследование влияния дополнительного экранирования кварцевого генератора СВЧ устройств на снижение уровня побочных спектральных составляющих</w:t>
        </w:r>
      </w:hyperlink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Г. А. Пискун, В. Ф. Алексеев, П. С. Романовский, А. А.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Стануль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// Доклады БГУИР. - 2019. - № 5 (123). - С. 12-17.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3. 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Оптимизация теплового режима приемо-передающего устройства по результатам моделирования тепловых процессов в среде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SolidWorks</w:t>
      </w:r>
      <w:proofErr w:type="spellEnd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Flow</w:t>
      </w:r>
      <w:proofErr w:type="spellEnd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Simulation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Пискун Г. А., Алексеев В. Ф., Романовский П. С.,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Стануль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А. А. //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Znanstvena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misel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journal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- 2019. -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Vol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1, № 35. - P. 47-60.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4. Алефиренко, В.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Угрозы безопасности информационной инфраструктуре объектов различного назначения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М. Алефиренко, К.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Чопик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//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Znanstvena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misel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journal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- 2019. -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Vol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1, № 30. - С. 41 - 49.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5. Алефиренко, В.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Виды инфракрасных извещателей и внешние факторы, влияющие на них в системах безопасности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М. Алефиренко, И. И.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Фурсевич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//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Znanstvena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misel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journal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- 2019. -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Vol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1, №31. - С. 48 - 51.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6.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Рыжковская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М. С.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 Анализ размеров компонентов биометрических терминалов систем контроля доступа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М. С.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Рыжковская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, В. М. Алефиренко //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Znanstvena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misel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journal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- 2019. -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Vol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1, №30. - С. 36 - 41.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7. Алефиренко, В.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Выбор извещателей для систем защиты периметра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М. Алефиренко, Н. В. Яненко //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Znanstvena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misel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journal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- 2019. -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Vol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1, №31. - С. 51 - 56.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8. Баранов, В. В.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Изделия силовой электроники, датчики, биомедицинские технологии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/ В. В. Баранов // Доклады БГУИР. - 2019. - № 3 (121). - С. 70 - 75.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9. Чан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Бинь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Тхан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Тепловое расширение твердых растворов (MnIn2S4)1-x*(AgIn5S</w:t>
      </w:r>
      <w:proofErr w:type="gram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8)x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Чан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Бинь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Тхан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, И.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Боднарь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// Доклады БГУИР. - 2019. - № 1 (119). - С. 32 - 37.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10.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Боднарь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И. В. </w:t>
      </w:r>
      <w:hyperlink r:id="rId6" w:tgtFrame="_blank" w:history="1">
        <w:r w:rsidRPr="00275CD2">
          <w:rPr>
            <w:rFonts w:eastAsia="Times New Roman" w:cs="Arial"/>
            <w:b/>
            <w:bCs/>
            <w:color w:val="0F508B"/>
            <w:sz w:val="23"/>
            <w:szCs w:val="23"/>
            <w:u w:val="single"/>
            <w:shd w:val="clear" w:color="auto" w:fill="FFFFFF"/>
            <w:lang w:eastAsia="ru-RU"/>
          </w:rPr>
          <w:t>Магнитные свойства монокристаллов твердых растворов (MnIn2S4)1-х*(AgIn5S8)х</w:t>
        </w:r>
      </w:hyperlink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Боднарь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И. В., Чан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Бинь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Тхан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// Доклады БГУИР. - 2019. - № 6 (124). - С. 95 - 99.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11. Боровиков, С. М. </w:t>
      </w:r>
      <w:hyperlink r:id="rId7" w:history="1">
        <w:r w:rsidRPr="00275CD2">
          <w:rPr>
            <w:rFonts w:eastAsia="Times New Roman" w:cs="Arial"/>
            <w:b/>
            <w:bCs/>
            <w:color w:val="0F508B"/>
            <w:sz w:val="23"/>
            <w:szCs w:val="23"/>
            <w:u w:val="single"/>
            <w:shd w:val="clear" w:color="auto" w:fill="FFFFFF"/>
            <w:lang w:eastAsia="ru-RU"/>
          </w:rPr>
          <w:t>Метод прогнозирования надежности прикладных программных средств на ранних этапах их разработки</w:t>
        </w:r>
      </w:hyperlink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/ С. М. Боровиков, С. С. Дик, Н. К. Фоменко // Доклады БГУИР. - 2019. - № 5 (123). - С. 45-51.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val="en-US"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val="en-US" w:eastAsia="ru-RU"/>
        </w:rPr>
        <w:lastRenderedPageBreak/>
        <w:t>12. 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val="en-US" w:eastAsia="ru-RU"/>
        </w:rPr>
        <w:t>Bond energy in nanostructured water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val="en-US" w:eastAsia="ru-RU"/>
        </w:rPr>
        <w:t xml:space="preserve"> / S. A.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val="en-US" w:eastAsia="ru-RU"/>
        </w:rPr>
        <w:t>Volchek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val="en-US" w:eastAsia="ru-RU"/>
        </w:rPr>
        <w:t xml:space="preserve">, V. A.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val="en-US" w:eastAsia="ru-RU"/>
        </w:rPr>
        <w:t>Petrovich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val="en-US" w:eastAsia="ru-RU"/>
        </w:rPr>
        <w:t xml:space="preserve">, S. V.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val="en-US" w:eastAsia="ru-RU"/>
        </w:rPr>
        <w:t>Granko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val="en-US" w:eastAsia="ru-RU"/>
        </w:rPr>
        <w:t xml:space="preserve">, V. Yu.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val="en-US" w:eastAsia="ru-RU"/>
        </w:rPr>
        <w:t>Serenkov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val="en-US" w:eastAsia="ru-RU"/>
        </w:rPr>
        <w:t xml:space="preserve">, V. A.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val="en-US" w:eastAsia="ru-RU"/>
        </w:rPr>
        <w:t>Yakovtseva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val="en-US" w:eastAsia="ru-RU"/>
        </w:rPr>
        <w:t xml:space="preserve"> // International Journal of Nanoscience. - 2019. - Vol. 18. - №. 3-4. - 1940035 (3 pages).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val="en-US" w:eastAsia="ru-RU"/>
        </w:rPr>
      </w:pPr>
    </w:p>
    <w:p w:rsidR="00275CD2" w:rsidRP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proofErr w:type="gramStart"/>
      <w:r w:rsidRPr="00275CD2">
        <w:rPr>
          <w:rFonts w:eastAsia="Times New Roman" w:cs="Arial"/>
          <w:b/>
          <w:bCs/>
          <w:color w:val="3465A4"/>
          <w:sz w:val="23"/>
          <w:szCs w:val="23"/>
          <w:shd w:val="clear" w:color="auto" w:fill="FFFFFF"/>
          <w:lang w:eastAsia="ru-RU"/>
        </w:rPr>
        <w:t>::</w:t>
      </w:r>
      <w:proofErr w:type="gramEnd"/>
      <w:r w:rsidRPr="00275CD2">
        <w:rPr>
          <w:rFonts w:eastAsia="Times New Roman" w:cs="Arial"/>
          <w:b/>
          <w:bCs/>
          <w:color w:val="3465A4"/>
          <w:sz w:val="23"/>
          <w:szCs w:val="23"/>
          <w:shd w:val="clear" w:color="auto" w:fill="FFFFFF"/>
          <w:lang w:eastAsia="ru-RU"/>
        </w:rPr>
        <w:t xml:space="preserve"> СТАТЬИ В ДРУГИХ ИЗДАНИЯХ И МАТЕРИАЛАХ КОНФЕРЕНЦИЙ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1. Алексеев, В. Ф.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Формирование навыков и компетенций при подготовке магистров в новых условиях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Ф. Алексеев, Д. В. Лихачевский, В. В. Шаталова // BIG DATA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Advanced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Analytics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= BIG DATA и анализ высокого уровня : сборник материалов V Международной научно-практической конференции, Минск, 13-14 марта 2019 г. В 2 ч. Ч. 2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В. А.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Богуш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360 - 365.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2. Алексеев, В.Ф.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Подготовка магистров в условиях перехода к концепции образования университет 3.0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Ф. Алексеев, Д. В. Лихачевский, В. В. Шаталова // BIG DATA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Advanced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Analytics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= BIG DATA и анализ высокого уровня : сборник материалов V Международной научно-практической конференции, Минск, 13-14 марта 2019 г. В 2 ч. Ч. 2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В. А.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Богуш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193 - 196.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3. Костюченко, В. В. </w:t>
      </w:r>
      <w:hyperlink r:id="rId8" w:history="1">
        <w:r w:rsidRPr="00275CD2">
          <w:rPr>
            <w:rFonts w:eastAsia="Times New Roman" w:cs="Arial"/>
            <w:b/>
            <w:bCs/>
            <w:color w:val="0F508B"/>
            <w:sz w:val="23"/>
            <w:szCs w:val="23"/>
            <w:u w:val="single"/>
            <w:shd w:val="clear" w:color="auto" w:fill="FFFFFF"/>
            <w:lang w:eastAsia="ru-RU"/>
          </w:rPr>
          <w:t>Угрозы безопасности системы «Умный дом»</w:t>
        </w:r>
      </w:hyperlink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/ В. В. Костюченко, В. М. Алефиренко.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4. Костюченко, В. В. </w:t>
      </w:r>
      <w:hyperlink r:id="rId9" w:history="1">
        <w:r w:rsidRPr="00275CD2">
          <w:rPr>
            <w:rFonts w:eastAsia="Times New Roman" w:cs="Arial"/>
            <w:b/>
            <w:bCs/>
            <w:color w:val="0F508B"/>
            <w:sz w:val="23"/>
            <w:szCs w:val="23"/>
            <w:u w:val="single"/>
            <w:shd w:val="clear" w:color="auto" w:fill="FFFFFF"/>
            <w:lang w:eastAsia="ru-RU"/>
          </w:rPr>
          <w:t>Особенности безопасной эксплуатации системы «Умный дом»</w:t>
        </w:r>
      </w:hyperlink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/ В. В. Костюченко, В. М. Алефиренко.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5. Алефиренко, В.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Возможности использования беспилотных летательных аппаратов для решения задач по доставке грузов на ограниченной территории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/ В. М. Алефиренко, Ф. Ч. Нгуен // Технические науки - от теории к практике : сборник публикаций научного журнала ''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Globus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'' по материалам XXХХIІІ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Междунар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науч.-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практ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конф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(г. Санкт-Петербург, 19 мая 2019 г.) /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.: В. П. Максимов [и др.]. - С-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П.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Научный журнал ''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Globus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'', 2019. - С. 59 - 69.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6.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Рыжковская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М. С.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Анализ светотехнических характеристик биометрических терминалов систем контроля доступа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М. С.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Рыжковская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В. М. Алефиренко // Журнал «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Science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Time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»: материалы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Междунар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науч.-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практ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конференции Общества Науки и Творчества за май 2019 года. - Казань, 2019. - № 5 (65). - С. 73-85.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7. Алефиренко, В.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Использование беспилотных летательных аппаратов для доставки почты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Алефиренко В. М., Нгуен Ф. Ч. // Современные средства связи: материалы XXIV Международной научно-технической конференции, Минск, 17 - 18 октября 2019 г. / Белорусская государственная академия связи;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А. О.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Зеневич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95 - 96.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8. Алефиренко, В.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Угрозы безопасности информационной инфраструктуре интернет-магазина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Алефиренко В. М.,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Чопик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К. В. // Современные средства связи: материалы XXIV Международной научно-технической конференции, Минск, 17 - 18 октября 2019 г. / Белорусская государственная академия связи;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А. О.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Зеневич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152 - 153.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9. </w:t>
      </w:r>
      <w:hyperlink r:id="rId10" w:history="1">
        <w:r w:rsidRPr="00275CD2">
          <w:rPr>
            <w:rFonts w:eastAsia="Times New Roman" w:cs="Arial"/>
            <w:b/>
            <w:bCs/>
            <w:color w:val="0F508B"/>
            <w:sz w:val="23"/>
            <w:szCs w:val="23"/>
            <w:u w:val="single"/>
            <w:shd w:val="clear" w:color="auto" w:fill="FFFFFF"/>
            <w:lang w:eastAsia="ru-RU"/>
          </w:rPr>
          <w:t>Сравнительный анализ программного обеспечения автоматизированных рабочих мест охранной системы безопасности</w:t>
        </w:r>
      </w:hyperlink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/ О. О. Боровская [и др.].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10. </w:t>
      </w:r>
      <w:hyperlink r:id="rId11" w:history="1">
        <w:r w:rsidRPr="00275CD2">
          <w:rPr>
            <w:rFonts w:eastAsia="Times New Roman" w:cs="Arial"/>
            <w:b/>
            <w:bCs/>
            <w:color w:val="0F508B"/>
            <w:sz w:val="23"/>
            <w:szCs w:val="23"/>
            <w:u w:val="single"/>
            <w:shd w:val="clear" w:color="auto" w:fill="FFFFFF"/>
            <w:lang w:eastAsia="ru-RU"/>
          </w:rPr>
          <w:t>Принцип функционирования охранной сигнализации административного здания</w:t>
        </w:r>
      </w:hyperlink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/ О. О. Боровская [и др.]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11.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 </w:t>
      </w:r>
      <w:hyperlink r:id="rId12" w:history="1">
        <w:r w:rsidRPr="00275CD2">
          <w:rPr>
            <w:rFonts w:eastAsia="Times New Roman" w:cs="Arial"/>
            <w:b/>
            <w:bCs/>
            <w:color w:val="0F508B"/>
            <w:sz w:val="23"/>
            <w:szCs w:val="23"/>
            <w:u w:val="single"/>
            <w:shd w:val="clear" w:color="auto" w:fill="FFFFFF"/>
            <w:lang w:eastAsia="ru-RU"/>
          </w:rPr>
          <w:t>Программно-аппаратное средство обнаружения препятствий для людей с нарушением зрения</w:t>
        </w:r>
      </w:hyperlink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/ В. Е. Галузо [и др.].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12. </w:t>
      </w:r>
      <w:hyperlink r:id="rId13" w:history="1">
        <w:r w:rsidRPr="00275CD2">
          <w:rPr>
            <w:rFonts w:eastAsia="Times New Roman" w:cs="Arial"/>
            <w:b/>
            <w:bCs/>
            <w:color w:val="0F508B"/>
            <w:sz w:val="23"/>
            <w:szCs w:val="23"/>
            <w:u w:val="single"/>
            <w:shd w:val="clear" w:color="auto" w:fill="FFFFFF"/>
            <w:lang w:eastAsia="ru-RU"/>
          </w:rPr>
          <w:t>Преимущества использования видеоаналитики в системах безопасности</w:t>
        </w:r>
      </w:hyperlink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/ А. С. Юрченко [и др.].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13. Боровская, О. О. </w:t>
      </w:r>
      <w:hyperlink r:id="rId14" w:history="1">
        <w:r w:rsidRPr="00275CD2">
          <w:rPr>
            <w:rFonts w:eastAsia="Times New Roman" w:cs="Arial"/>
            <w:b/>
            <w:bCs/>
            <w:color w:val="0F508B"/>
            <w:sz w:val="23"/>
            <w:szCs w:val="23"/>
            <w:u w:val="single"/>
            <w:shd w:val="clear" w:color="auto" w:fill="FFFFFF"/>
            <w:lang w:eastAsia="ru-RU"/>
          </w:rPr>
          <w:t>Интеграция систем видеонаблюдения и охранной сигнализаци</w:t>
        </w:r>
      </w:hyperlink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/ О. О. Боровская.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14. Майоров, Л. В.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Подход к оценке эффективности функционирования микропроцессорных устройств с учетом временных отказов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Л. В. Майоров, С. М. Боровиков, О. О. Боровская // Современные наукоёмкие инновационные технологии : 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lastRenderedPageBreak/>
        <w:t xml:space="preserve">сборник статей Международной научно-практической конференции, Челябинск, 5 февраля 2019 г. - Уфа :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Аэтерна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2019. - С. 28-30.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15.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Бруй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Н.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Оптимизация управления распределением ресурсов в потоках </w:t>
      </w:r>
      <w:proofErr w:type="gram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работ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автореф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дисс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... магистра технических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наук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1- 40 80 02 / Н. М.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Бруй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; науч. рук. М. П. </w:t>
      </w:r>
      <w:proofErr w:type="spellStart"/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Ревотюк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Минск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БГУИР, 2019. - 10 с.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16.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Евилин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А. В.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Модель расчета эксплуатационной надежности трансформаторов электропитания электронной аппаратуры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А.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Евилин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, С. М. Боровиков, А.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Будник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// Технические средства защиты информации : тезисы докладов ХVII Белорусско-российской научно - технической конференции, Минск, 11 июня 2019 г.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Т.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Борботько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26 - 27.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17. Боровиков, С.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Возможный подход к оценке надёжности прикладных программных средств для технологий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Big</w:t>
      </w:r>
      <w:proofErr w:type="spellEnd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Data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С. М. Боровиков,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Лэ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Ван Там, С. С. Дик // BIG DATA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Advanced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Analytics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= BIG DATA и анализ высокого уровня : сборник материалов V Международной научно-практической конференции, Минск, 13-14 марта 2019 г. В 2 ч. Ч. 2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В. А.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Богуш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77 - 83.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18. Боровиков, С.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Большие данные и принципы разработки аналитических систем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С. М. Боровиков, С. К. Дик, С. С. Дик // BIG DATA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Advanced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Analytics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= BIG DATA и анализ высокого уровня : сборник материалов V Международной научно-практической конференции, Минск, 13-14 марта 2019 г. В 2 ч. Ч. 2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В. А.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Богуш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167 - 171.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19. Майоров, Л. В.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Подход к оценке эффективности функционирования микропроцессорных устройств с учетом временных отказов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Л. В. Майоров, С. М. Боровиков, О. О. Боровская // Современные наукоёмкие инновационные технологии : сборник статей Международной научно-практической конференции, Челябинск, 5 февраля 2019 г. - Уфа :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Аэтерна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2019. - С. 28-30.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20. Гурский, М. С.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Интерактивное обучение как фактор совершенствования учебно-познавательного процесса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М. С. Гурский // Актуальные вопросы профессионального образования =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Аctual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issues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of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professional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education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: тезисы докладов II Международной научно-практической конференции, Минск, 11 апреля 2019 г.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.: С. Н.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Анкуда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77 - 78.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21. Калиновская, А. А.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Разработка комплексной системы защиты электронного документооборота на примере технического </w:t>
      </w:r>
      <w:proofErr w:type="gram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университета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автореф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дисс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... магистра технических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наук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1- 38 80 04 / А. А. Калиновская; науч. рук. Д. П.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Кункевич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-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Минск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БГУИР, 2019. - 16 с.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22. Короленко, С. И.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 Инструментальная поддержка оценки деятельности управленческого персонала компании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: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автореф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дисс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... магистра экономических наук: 1-25 80 08 / С. И. Короленко; науч. рук. С. А.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Поттосина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- Минск: БГУИР, 2019. - 16 с.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23.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Давыдовский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А. Г.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Моделирование продуктивности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агрофитоценозов</w:t>
      </w:r>
      <w:proofErr w:type="spellEnd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 в условиях погодно-климатических флуктуаций как проблема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Big</w:t>
      </w:r>
      <w:proofErr w:type="spellEnd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Data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А. Г.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Давыдовский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, Д. В. Лихачевский // BIG DATA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Advanced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Analytics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= BIG DATA и анализ высокого уровня : сборник материалов V Международной научно-практической конференции, Минск, 13-14 марта 2019 г. В 2 ч. Ч. 1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В. А.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Богуш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270 - 284.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24. 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Проблемы применения беспилотных летательных аппаратов в обеспечении общественной, промышленной и экологической безопасности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А. Г.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Давыдовский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 // BIG DATA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Advanced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Analytics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= BIG DATA и анализ высокого уровня : сборник материалов V Международной научно-практической конференции, Минск, 13-14 марта 2019 г. В 2 ч. Ч. 2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В. А.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Богуш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305 - 319.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lastRenderedPageBreak/>
        <w:t>25. Горовой, В. Г.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Маркетинговый подход к совершенствованию деятельности университета на внешних рынках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Г. Горовой, Д. В. Лихачевский, В. А.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Пархименко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, //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Вышэйшая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школа. - 2019. - № 1 (129). - С. 19-24.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26.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Кашкимбаева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Н.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Порядок проведения и содержание мониторинга земли Республики Казахстана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Н. М.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Кашкимбаева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, Д. В. Лихачевский // BIG DATA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Advanced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Analytics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= BIG DATA и анализ высокого уровня : сборник материалов V Международной научно-практической конференции, Минск, 13-14 марта 2019 г. В 2 ч. Ч. 1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В. А.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Богуш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360 - 369.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27. Шаталова, В. В.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Технологии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BigData</w:t>
      </w:r>
      <w:proofErr w:type="spellEnd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 - как фактор конкурентоспособности преподавателя ВУЗа в условиях современного ИТ-образования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В. Шаталова // BIG DATA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Advanced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Analytics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= BIG DATA и анализ высокого уровня : сборник материалов V Международной научно-практической конференции, Минск, 13-14 марта 2019 г. В 2 ч. Ч. 2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В. А.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Богуш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11 - 19.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28.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Кусенок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Е. Н.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Особенности использования проектного обучения в профессиональном образовании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Е. Н.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Кусенок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, В. В. Шаталова // Актуальные вопросы профессионального образования =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Аctual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issues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of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professional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education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: тезисы докладов II Международной научно-практической конференции, Минск, 11 апреля 2019 г.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.: С. Н.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Анкуда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141 - 142.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29. Шаталова, В. В.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Интерактивное образование: новый подход в профессиональном образовании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В. Шаталова, Ю. С. Сычёва // Актуальные вопросы профессионального образования =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Аctual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issues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of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professional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education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: тезисы докладов II Международной научно-практической конференции, Минск, 11 апреля 2019 г.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.: С. Н.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Анкуда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297 - 298.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30.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Цырельчук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И. Н.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Модель поведения обучающегося, полученная с использованием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технолгии</w:t>
      </w:r>
      <w:proofErr w:type="spellEnd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 машинного обучения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И. Н.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Цырельчук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// BIG DATA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Advanced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Analytics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= BIG DATA и анализ высокого уровня : сборник материалов V Международной научно-практической конференции, Минск, 13-14 марта 2019 г. В 2 ч. Ч. 2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.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В. А.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Богуш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320 - 324.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proofErr w:type="gramStart"/>
      <w:r w:rsidRPr="00275CD2">
        <w:rPr>
          <w:rFonts w:eastAsia="Times New Roman" w:cs="Arial"/>
          <w:b/>
          <w:bCs/>
          <w:color w:val="3465A4"/>
          <w:sz w:val="23"/>
          <w:szCs w:val="23"/>
          <w:shd w:val="clear" w:color="auto" w:fill="FFFFFF"/>
          <w:lang w:eastAsia="ru-RU"/>
        </w:rPr>
        <w:t>::</w:t>
      </w:r>
      <w:proofErr w:type="gramEnd"/>
      <w:r w:rsidRPr="00275CD2">
        <w:rPr>
          <w:rFonts w:eastAsia="Times New Roman" w:cs="Arial"/>
          <w:b/>
          <w:bCs/>
          <w:color w:val="3465A4"/>
          <w:sz w:val="23"/>
          <w:szCs w:val="23"/>
          <w:shd w:val="clear" w:color="auto" w:fill="FFFFFF"/>
          <w:lang w:eastAsia="ru-RU"/>
        </w:rPr>
        <w:t xml:space="preserve"> ТЕЗИСЫ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1. Алефиренко, В.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Подготовка специалистов по технической защите информации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М. Алефиренко // Технические средства защиты информации : тезисы докладов ХVII Белорусско-российской научно - технической конференции, Минск, 11 июня 2019 г.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Т.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Борботько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12 - 13.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2. Алефиренко, В.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Исследование экранирования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радиозакладных</w:t>
      </w:r>
      <w:proofErr w:type="spellEnd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 устройств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М. Алефиренко, В. Е. Галузо // Технические средства защиты информации : тезисы докладов ХVII Белорусско-российской научно - технической конференции, Минск, 11 июня 2019 г.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Т.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Борботько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13.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3. Алефиренко, В.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Практическая реализация методики определения инженерно-психологических и эстетических характеристик панелей управления технических средств электронных систем безопасности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М. Алефиренко, М. С.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Рыжковская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// Актуальные вопросы профессионального образования =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Аctual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issues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of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professional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education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: тезисы докладов II Международной научно-практической конференции, Минск, 11 апреля 2019 г.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.: С. Н.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Анкуда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19 - 20.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4. Алефиренко, В.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Программные средства для исследования влияния внешних факторов на работоспособность инфракрасных извещателей в системах безопасности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Алефиренко В. М.,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Фурсевич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И. И. // Современные средства связи: 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lastRenderedPageBreak/>
        <w:t xml:space="preserve">материалы XXIV Международной научно-технической конференции, Минск, 17 - 18 октября 2019 г. / Белорусская государственная академия связи;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А. О.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Зеневич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126 - 128.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5. Бересневич, А. И.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Методика прогнозирования параметрической надежности транзисторов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А. И. Бересневич // Технические средства защиты информации : тезисы докладов ХVII Белорусско-российской научно - технической конференции, Минск, 11 июня 2019 г.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Т.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Борботько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16.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6. Дик, С. С.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Получение статистических данных об уменьшении числа ошибок в прикладных компьютерных программах для систем информационной безопасности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С. С. Дик, В. Т.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Лэ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, С. М. Боровиков // Технические средства защиты информации : тезисы докладов ХVII Белорусско-российской научно - технической конференции, Минск, 11 июня 2019 г.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Т.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Борботько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25.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7. Боровиков, С. М.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Автоматизация процедуры индивидуального прогнозирования надежности полупроводниковых приборов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С. М. Боровиков, А.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Будник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, В. О. Казючиц // Технические средства защиты информации : тезисы докладов ХVII Белорусско-российской научно - технической конференции, Минск, 11 июня 2019 г.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Т.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Борботько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17 - 18.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8. Майоров, Л. В.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Временные отказы микропроцессорных устройств систем безопасности и оценка вероятности их возникновения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Л. В. Майоров, С. М. Боровиков // Технические средства защиты информации : тезисы докладов ХVII Белорусско-российской научно - технической конференции, Минск, 11 июня 2019 г.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Т.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Борботько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45 - 46.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9. Галузо, В. Е.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Практические рекомендации по проектированию установок дымоудаления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В. Е. Галузо, В. В. Мельничук, А. И. Пинаев // Технические средства защиты информации : тезисы докладов ХVII Белорусско-российской научно - технической конференции, Минск, 11 июня 2019 г.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Т.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Борботько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21 - 22.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10. Пинаев, А. И.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Особенности контроля работников охраны техническими средствами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А. И. Пинаев, В. В. Мельничук, В. Е. Галузо // Технические средства защиты информации : тезисы докладов ХVII Белорусско-российской научно - технической конференции, Минск, 11 июня 2019 г.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Т.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Борботько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55.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11. Горбач, А. П.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Моделирование падения напряжения на активном сопротивлении в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Altium</w:t>
      </w:r>
      <w:proofErr w:type="spellEnd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Designer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Горбач А. П., Хуторная Е. В. // Электронные системы и технологии : 55-я юбилейная конференция аспирантов, магистрантов и студентов, Минск, 22-26 апреля 2019 г. : сборник тезисов докладов / Белорусский государственный университет информатики и радиоэлектроники. -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Минск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БГУИР, 2019. - С. 90 - 91.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12. Хуторная, Е. В.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Подходы к анализу печатных плат средствами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Altium</w:t>
      </w:r>
      <w:proofErr w:type="spellEnd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Designer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Хуторная Е. В., Горбач А. П. // Электронные системы и технологии : 55-я юбилейная конференция аспирантов, магистрантов и студентов, Минск, 22-26 апреля 2019 г. : сборник тезисов докладов / Белорусский государственный университет информатики и радиоэлектроники. -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Минск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БГУИР, 2019. - С. 238.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11. Калиновская, А. А.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Анализ существующих методов и средств обеспечения безопасности информации и виртуализации в высшем учебном заведении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Калиновская А. А., Савицкая Д. Г. // Электронные системы и технологии : 55-я юбилейная конференция аспирантов, магистрантов и студентов, Минск, 22-26 апреля 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lastRenderedPageBreak/>
        <w:t xml:space="preserve">2019 г. : сборник тезисов докладов / Белорусский государственный университет информатики и радиоэлектроники. -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Минск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БГУИР, 2019. - С. 136 - 137.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12. Наумович, Е. Н.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Тепловая стабильность акустооптических фильтров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Е. Н. Наумович, В. И. Журавлёв, В. С. Колбун // Технические средства защиты информации : тезисы докладов ХVII Белорусско-российской научно - технической конференции, Минск, 11 июня 2019 г. / Белорусский государственный университет информатики и радиоэлектроники;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редкол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. : Т. В.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Борботько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[и др.]. - Минск, 2019. - С. 53.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13. Журавлёв, В. И.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Уменьшение нагрева радиоэлектронных компонентов численной оптимизацией конструкции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Журавлёв В. И., Колбун В. С., Стешенко П. П. // Информационные технологии в промышленности, логистике и социальной сфере (ITI’2019) : X-я Международная научно-техническая конференция, Минск, 23-24 мая 2019 года : тезисы докладов. -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Минск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ОИПИ НАН Беларуси, 2019. - С.71-73.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14. Игольник, А. А.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Тенденции развития топологий печатных плат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Игольник А. А., Марков А. Н. // Электронные системы и технологии : 55-я юбилейная конференция аспирантов, магистрантов и студентов, Минск, 22-26 апреля 2019 г. : сборник тезисов докладов / Белорусский государственный университет информатики и радиоэлектроники. -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Минск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БГУИР, 2019. - С. 130.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15. Марков, А. Н.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Проблема балансировки нагрузки облачных вычислений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 / А. Н. Марков // Компьютерные системы и сети: 55-я юбилейная научная конференция аспирантов, магистрантов и студентов, Минск, 22-26 апреля 2019 г. / Белорусский государственный университет информатики и радиоэлектроники. - Минск, 2019. - С. 127 - 128.</w:t>
      </w:r>
    </w:p>
    <w:p w:rsidR="00275CD2" w:rsidRDefault="00275CD2" w:rsidP="00275CD2">
      <w:pPr>
        <w:jc w:val="both"/>
        <w:rPr>
          <w:rFonts w:eastAsia="Times New Roman" w:cs="Arial"/>
          <w:color w:val="474747"/>
          <w:sz w:val="23"/>
          <w:szCs w:val="23"/>
          <w:lang w:eastAsia="ru-RU"/>
        </w:rPr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16.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Сюмак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И. Ю.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Перспектива использования солнечных электростанций в качестве источников электроэнергии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Сюмак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И. Ю, Артеменко А. А., Пятосин А. В. // Электронные системы и технологии : 55-я юбилейная конференция аспирантов, магистрантов и студентов, Минск, 22-26 апреля 2019 г. : сборник тезисов докладов / Белорусский государственный университет информатики и радиоэлектроники. -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Минск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БГУИР, 2019. - С. 217 - 218.</w:t>
      </w:r>
    </w:p>
    <w:p w:rsidR="00D020AC" w:rsidRDefault="00275CD2" w:rsidP="00275CD2">
      <w:pPr>
        <w:jc w:val="both"/>
      </w:pP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17.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Сюмак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, И. Ю. </w:t>
      </w:r>
      <w:r w:rsidRPr="00275CD2">
        <w:rPr>
          <w:rFonts w:eastAsia="Times New Roman" w:cs="Arial"/>
          <w:b/>
          <w:bCs/>
          <w:color w:val="474747"/>
          <w:sz w:val="23"/>
          <w:szCs w:val="23"/>
          <w:shd w:val="clear" w:color="auto" w:fill="FFFFFF"/>
          <w:lang w:eastAsia="ru-RU"/>
        </w:rPr>
        <w:t>Скорость изменения КПД солнечных элементов с течением времени</w:t>
      </w:r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 / </w:t>
      </w:r>
      <w:proofErr w:type="spell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Сюмак</w:t>
      </w:r>
      <w:proofErr w:type="spell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И. Ю., Артеменко А. А., Пятосин А. В. // Электронные системы и технологии : 55-я юбилейная конференция аспирантов, магистрантов и студентов, Минск, 22-26 апреля 2019 г. : сборник тезисов докладов / Белорусский государственный университет информатики и радиоэлектроники. - </w:t>
      </w:r>
      <w:proofErr w:type="gramStart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>Минск :</w:t>
      </w:r>
      <w:proofErr w:type="gramEnd"/>
      <w:r w:rsidRPr="00275CD2">
        <w:rPr>
          <w:rFonts w:eastAsia="Times New Roman" w:cs="Arial"/>
          <w:color w:val="474747"/>
          <w:sz w:val="23"/>
          <w:szCs w:val="23"/>
          <w:shd w:val="clear" w:color="auto" w:fill="FFFFFF"/>
          <w:lang w:eastAsia="ru-RU"/>
        </w:rPr>
        <w:t xml:space="preserve"> БГУИР, 2019. - С. 219 - 220.</w:t>
      </w:r>
    </w:p>
    <w:sectPr w:rsidR="00D0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D2"/>
    <w:rsid w:val="00275CD2"/>
    <w:rsid w:val="002D63E4"/>
    <w:rsid w:val="0030061F"/>
    <w:rsid w:val="0041196E"/>
    <w:rsid w:val="004C6AD8"/>
    <w:rsid w:val="00786783"/>
    <w:rsid w:val="008756B3"/>
    <w:rsid w:val="009D1257"/>
    <w:rsid w:val="00CC5EF8"/>
    <w:rsid w:val="00CD3029"/>
    <w:rsid w:val="00D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640C"/>
  <w15:chartTrackingRefBased/>
  <w15:docId w15:val="{CE103602-BA26-4E39-BE7C-4EE6238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ldoc.bsuir.by/handle/123456789/34444" TargetMode="External"/><Relationship Id="rId13" Type="http://schemas.openxmlformats.org/officeDocument/2006/relationships/hyperlink" Target="https://libeldoc.bsuir.by/handle/123456789/343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35596/1729-7648-2019-123-5-45-51" TargetMode="External"/><Relationship Id="rId12" Type="http://schemas.openxmlformats.org/officeDocument/2006/relationships/hyperlink" Target="https://libeldoc.bsuir.by/handle/123456789/343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x.doi.org/10.35596/1729-7648-2019-124-6-95-99" TargetMode="External"/><Relationship Id="rId11" Type="http://schemas.openxmlformats.org/officeDocument/2006/relationships/hyperlink" Target="https://libeldoc.bsuir.by/handle/123456789/34324" TargetMode="External"/><Relationship Id="rId5" Type="http://schemas.openxmlformats.org/officeDocument/2006/relationships/hyperlink" Target="http://dx.doi.org/10.35596/1729-7648-2019-123-5-12-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eldoc.bsuir.by/handle/123456789/34325.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libeldoc.bsuir.by/handle/123456789/34443" TargetMode="External"/><Relationship Id="rId14" Type="http://schemas.openxmlformats.org/officeDocument/2006/relationships/hyperlink" Target="https://libeldoc.bsuir.by/handle/123456789/34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3162</Words>
  <Characters>18026</Characters>
  <Application>Microsoft Office Word</Application>
  <DocSecurity>0</DocSecurity>
  <Lines>150</Lines>
  <Paragraphs>42</Paragraphs>
  <ScaleCrop>false</ScaleCrop>
  <Company/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Виктор Федорович</dc:creator>
  <cp:keywords/>
  <dc:description/>
  <cp:lastModifiedBy>АЛЕКСЕЕВ Виктор Федорович</cp:lastModifiedBy>
  <cp:revision>1</cp:revision>
  <dcterms:created xsi:type="dcterms:W3CDTF">2021-08-31T01:51:00Z</dcterms:created>
  <dcterms:modified xsi:type="dcterms:W3CDTF">2021-08-31T01:56:00Z</dcterms:modified>
</cp:coreProperties>
</file>