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59"/>
        <w:gridCol w:w="3085"/>
        <w:gridCol w:w="992"/>
        <w:gridCol w:w="567"/>
        <w:gridCol w:w="2977"/>
        <w:gridCol w:w="3402"/>
        <w:gridCol w:w="4111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ИИТ</w:t>
            </w: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Каешко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Вэньцзу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Изменена специальность 05.12.14 на 05.13.17, приказ от 10.01.2019 № 8-О</w:t>
            </w: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Никуленко Виталий Юрьевич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sz w:val="20"/>
                <w:szCs w:val="20"/>
                <w:highlight w:val="green"/>
              </w:rPr>
              <w:t>. отпуск с 01.05.2019 по 30.04.2020, приказ от 29.04.2019 № 156-О.</w:t>
            </w: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Садовский Михаил Ефимович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Цянь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Лунвэй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Изменена специальность 05.12.14 на 05.13.17, приказ от 10.01.2019 № 8-О</w:t>
            </w:r>
          </w:p>
        </w:tc>
      </w:tr>
      <w:tr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Яценко Дмитрий Валерьевич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Гулякина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1276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7</cp:revision>
  <dcterms:created xsi:type="dcterms:W3CDTF">2019-01-24T06:01:00Z</dcterms:created>
  <dcterms:modified xsi:type="dcterms:W3CDTF">2019-09-10T13:34:00Z</dcterms:modified>
</cp:coreProperties>
</file>